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155" w:rsidRDefault="00CF0155" w:rsidP="00CF0155">
      <w:pPr>
        <w:spacing w:after="0" w:line="240" w:lineRule="auto"/>
        <w:jc w:val="center"/>
        <w:rPr>
          <w:rFonts w:eastAsia="Times New Roman" w:cs="Times New Roman"/>
          <w:b/>
          <w:sz w:val="24"/>
          <w:szCs w:val="24"/>
        </w:rPr>
      </w:pPr>
      <w:r>
        <w:rPr>
          <w:rFonts w:eastAsia="Times New Roman" w:cs="Times New Roman"/>
          <w:b/>
          <w:sz w:val="24"/>
          <w:szCs w:val="24"/>
        </w:rPr>
        <w:t xml:space="preserve">Gender Review of Select WASH Programmes </w:t>
      </w:r>
      <w:r w:rsidRPr="00382831">
        <w:rPr>
          <w:rFonts w:eastAsia="Times New Roman" w:cs="Times New Roman"/>
          <w:b/>
          <w:sz w:val="24"/>
          <w:szCs w:val="24"/>
        </w:rPr>
        <w:t>Camps and Villages in Rakhine</w:t>
      </w:r>
    </w:p>
    <w:p w:rsidR="00CF0155" w:rsidRPr="00382831" w:rsidRDefault="00CF0155" w:rsidP="00CF0155">
      <w:pPr>
        <w:spacing w:line="240" w:lineRule="auto"/>
        <w:jc w:val="center"/>
        <w:rPr>
          <w:rFonts w:eastAsia="Times New Roman" w:cs="Times New Roman"/>
          <w:b/>
          <w:sz w:val="24"/>
          <w:szCs w:val="24"/>
        </w:rPr>
      </w:pPr>
      <w:r>
        <w:rPr>
          <w:rFonts w:eastAsia="Times New Roman" w:cs="Times New Roman"/>
          <w:b/>
          <w:sz w:val="24"/>
          <w:szCs w:val="24"/>
        </w:rPr>
        <w:t>Facilitator’s Notes</w:t>
      </w:r>
    </w:p>
    <w:p w:rsidR="00CF0155" w:rsidRDefault="00CF0155" w:rsidP="00CF0155">
      <w:pPr>
        <w:widowControl w:val="0"/>
        <w:autoSpaceDE w:val="0"/>
        <w:autoSpaceDN w:val="0"/>
        <w:adjustRightInd w:val="0"/>
        <w:spacing w:before="240" w:line="240" w:lineRule="auto"/>
        <w:ind w:left="-540" w:right="-540"/>
        <w:rPr>
          <w:rFonts w:cs="Calibri"/>
          <w:sz w:val="20"/>
          <w:szCs w:val="20"/>
        </w:rPr>
      </w:pPr>
      <w:r>
        <w:rPr>
          <w:rFonts w:cs="Calibri"/>
          <w:sz w:val="20"/>
          <w:szCs w:val="20"/>
        </w:rPr>
        <w:t>The Global WASH C</w:t>
      </w:r>
      <w:r w:rsidRPr="004E4942">
        <w:rPr>
          <w:rFonts w:cs="Calibri"/>
          <w:sz w:val="20"/>
          <w:szCs w:val="20"/>
        </w:rPr>
        <w:t>luster partners have agreed on 5 minimum commitments to be respected in all their humanitarian WASH programmes so as to ensure that the distinct assistance and protection needs of the affected population are met.</w:t>
      </w:r>
      <w:r>
        <w:rPr>
          <w:rFonts w:cs="Calibri"/>
          <w:sz w:val="20"/>
          <w:szCs w:val="20"/>
        </w:rPr>
        <w:t xml:space="preserve"> </w:t>
      </w:r>
      <w:r w:rsidRPr="0072461A">
        <w:rPr>
          <w:rFonts w:cs="Calibri"/>
          <w:sz w:val="20"/>
          <w:szCs w:val="20"/>
        </w:rPr>
        <w:t xml:space="preserve">The rationale behind the development of the </w:t>
      </w:r>
      <w:r w:rsidRPr="0072461A">
        <w:rPr>
          <w:rFonts w:cs="Calibri"/>
          <w:i/>
          <w:sz w:val="20"/>
          <w:szCs w:val="20"/>
        </w:rPr>
        <w:t xml:space="preserve">WASH Minimum Commitments </w:t>
      </w:r>
      <w:r w:rsidRPr="0072461A">
        <w:rPr>
          <w:rFonts w:cs="Calibri"/>
          <w:i/>
          <w:sz w:val="18"/>
          <w:szCs w:val="20"/>
        </w:rPr>
        <w:t xml:space="preserve">for the </w:t>
      </w:r>
      <w:r w:rsidRPr="0072461A">
        <w:rPr>
          <w:rFonts w:cs="Calibri"/>
          <w:i/>
          <w:sz w:val="20"/>
          <w:szCs w:val="20"/>
        </w:rPr>
        <w:t>Safety and Dignity of Affected People, with an Integrated Approach that Addresses Gender, Protection, Age &amp; Disability Issues</w:t>
      </w:r>
      <w:r>
        <w:rPr>
          <w:rFonts w:ascii="Calibri" w:hAnsi="Calibri" w:cs="Calibri"/>
          <w:b/>
          <w:bCs/>
          <w:color w:val="0070C0"/>
          <w:sz w:val="24"/>
          <w:szCs w:val="24"/>
        </w:rPr>
        <w:t xml:space="preserve"> </w:t>
      </w:r>
      <w:r w:rsidRPr="0072461A">
        <w:rPr>
          <w:rFonts w:cs="Calibri"/>
          <w:sz w:val="20"/>
          <w:szCs w:val="20"/>
        </w:rPr>
        <w:t>was to:</w:t>
      </w:r>
      <w:r>
        <w:rPr>
          <w:rFonts w:cs="Calibri"/>
          <w:sz w:val="20"/>
          <w:szCs w:val="20"/>
        </w:rPr>
        <w:t xml:space="preserve"> s</w:t>
      </w:r>
      <w:r w:rsidRPr="0072461A">
        <w:rPr>
          <w:rFonts w:cs="Calibri"/>
          <w:sz w:val="20"/>
          <w:szCs w:val="20"/>
        </w:rPr>
        <w:t>trengthen accountability to affected population;</w:t>
      </w:r>
      <w:r>
        <w:rPr>
          <w:rFonts w:cs="Calibri"/>
          <w:sz w:val="20"/>
          <w:szCs w:val="20"/>
        </w:rPr>
        <w:t xml:space="preserve"> a</w:t>
      </w:r>
      <w:r w:rsidRPr="0072461A">
        <w:rPr>
          <w:rFonts w:cs="Calibri"/>
          <w:sz w:val="20"/>
          <w:szCs w:val="20"/>
        </w:rPr>
        <w:t>gree on a minimum package of engagements that all partners would commit to implement</w:t>
      </w:r>
      <w:r>
        <w:rPr>
          <w:rFonts w:cs="Calibri"/>
          <w:sz w:val="20"/>
          <w:szCs w:val="20"/>
        </w:rPr>
        <w:t>ing and monitoring regularly, s</w:t>
      </w:r>
      <w:r w:rsidRPr="0072461A">
        <w:rPr>
          <w:rFonts w:cs="Calibri"/>
          <w:sz w:val="20"/>
          <w:szCs w:val="20"/>
        </w:rPr>
        <w:t xml:space="preserve">treamline the WASH approach to cross-cutting issues </w:t>
      </w:r>
      <w:r>
        <w:rPr>
          <w:rFonts w:cs="Calibri"/>
          <w:sz w:val="20"/>
          <w:szCs w:val="20"/>
        </w:rPr>
        <w:t>on protection and ultimately improve WASH programming quality.</w:t>
      </w:r>
    </w:p>
    <w:p w:rsidR="00CF0155" w:rsidRPr="004E4942" w:rsidRDefault="00CF0155" w:rsidP="00CF0155">
      <w:pPr>
        <w:widowControl w:val="0"/>
        <w:autoSpaceDE w:val="0"/>
        <w:autoSpaceDN w:val="0"/>
        <w:adjustRightInd w:val="0"/>
        <w:spacing w:before="240" w:line="240" w:lineRule="auto"/>
        <w:ind w:left="-540" w:right="-540"/>
        <w:rPr>
          <w:rFonts w:cs="Calibri"/>
          <w:sz w:val="20"/>
          <w:szCs w:val="20"/>
        </w:rPr>
      </w:pPr>
      <w:r w:rsidRPr="0072461A">
        <w:rPr>
          <w:rFonts w:cs="Calibri"/>
          <w:sz w:val="20"/>
          <w:szCs w:val="20"/>
        </w:rPr>
        <w:t xml:space="preserve">These commitments, </w:t>
      </w:r>
      <w:proofErr w:type="spellStart"/>
      <w:r w:rsidRPr="0072461A">
        <w:rPr>
          <w:rFonts w:cs="Calibri"/>
          <w:sz w:val="20"/>
          <w:szCs w:val="20"/>
        </w:rPr>
        <w:t>centred</w:t>
      </w:r>
      <w:proofErr w:type="spellEnd"/>
      <w:r w:rsidRPr="0072461A">
        <w:rPr>
          <w:rFonts w:cs="Calibri"/>
          <w:sz w:val="20"/>
          <w:szCs w:val="20"/>
        </w:rPr>
        <w:t xml:space="preserve"> on people, aim at improving the quality and efficiency of the WASH response programmes in every context, and at ensuring that key issues are taken into consideration by all partners, such as gender,  gender based violence, child protection, disability, and age. </w:t>
      </w:r>
      <w:r>
        <w:rPr>
          <w:rFonts w:cs="Calibri"/>
          <w:sz w:val="20"/>
          <w:szCs w:val="20"/>
        </w:rPr>
        <w:t xml:space="preserve"> </w:t>
      </w:r>
      <w:r w:rsidRPr="0072461A">
        <w:rPr>
          <w:rFonts w:cs="Calibri"/>
          <w:sz w:val="20"/>
          <w:szCs w:val="20"/>
        </w:rPr>
        <w:t>They are generic enough to be applied in the various contexts where WASH cluster partners operate. They are in line with the SPHERE standards and constitute a minimum set of core actions and/or approaches to be applied by all partners in the cluster to ensure quality for their WASH programmes. They focus on improvement of current approaches rather than on drastic programme reorientation. This is why they should not be perceived as generating an additional workload.</w:t>
      </w:r>
      <w:r w:rsidR="0067587F">
        <w:rPr>
          <w:rFonts w:cs="Calibri"/>
          <w:sz w:val="20"/>
          <w:szCs w:val="20"/>
        </w:rPr>
        <w:t xml:space="preserve"> </w:t>
      </w:r>
      <w:bookmarkStart w:id="0" w:name="_GoBack"/>
      <w:bookmarkEnd w:id="0"/>
      <w:r w:rsidRPr="004E4942">
        <w:rPr>
          <w:rFonts w:cs="Calibri"/>
          <w:sz w:val="20"/>
          <w:szCs w:val="20"/>
        </w:rPr>
        <w:t>These commitments are as follows:</w:t>
      </w:r>
    </w:p>
    <w:tbl>
      <w:tblPr>
        <w:tblW w:w="10639" w:type="dxa"/>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right w:w="0" w:type="dxa"/>
        </w:tblCellMar>
        <w:tblLook w:val="0000" w:firstRow="0" w:lastRow="0" w:firstColumn="0" w:lastColumn="0" w:noHBand="0" w:noVBand="0"/>
      </w:tblPr>
      <w:tblGrid>
        <w:gridCol w:w="559"/>
        <w:gridCol w:w="3600"/>
        <w:gridCol w:w="6480"/>
      </w:tblGrid>
      <w:tr w:rsidR="00CF0155" w:rsidRPr="00DE6934" w:rsidTr="00CF0155">
        <w:trPr>
          <w:trHeight w:val="251"/>
        </w:trPr>
        <w:tc>
          <w:tcPr>
            <w:tcW w:w="559" w:type="dxa"/>
            <w:shd w:val="clear" w:color="auto" w:fill="95B3D7" w:themeFill="accent1" w:themeFillTint="99"/>
          </w:tcPr>
          <w:p w:rsidR="00CF0155" w:rsidRDefault="00CF0155" w:rsidP="00644D0B">
            <w:pPr>
              <w:widowControl w:val="0"/>
              <w:autoSpaceDE w:val="0"/>
              <w:autoSpaceDN w:val="0"/>
              <w:adjustRightInd w:val="0"/>
              <w:spacing w:after="0" w:line="243" w:lineRule="exact"/>
              <w:jc w:val="center"/>
              <w:rPr>
                <w:rFonts w:cs="Calibri"/>
                <w:b/>
                <w:bCs/>
                <w:sz w:val="20"/>
                <w:szCs w:val="20"/>
              </w:rPr>
            </w:pPr>
            <w:r>
              <w:rPr>
                <w:rFonts w:cs="Calibri"/>
                <w:b/>
                <w:bCs/>
                <w:sz w:val="20"/>
                <w:szCs w:val="20"/>
              </w:rPr>
              <w:t>NO.</w:t>
            </w:r>
          </w:p>
        </w:tc>
        <w:tc>
          <w:tcPr>
            <w:tcW w:w="3600" w:type="dxa"/>
            <w:shd w:val="clear" w:color="auto" w:fill="95B3D7" w:themeFill="accent1" w:themeFillTint="99"/>
            <w:vAlign w:val="bottom"/>
          </w:tcPr>
          <w:p w:rsidR="00CF0155" w:rsidRPr="00DE6934" w:rsidRDefault="00CF0155" w:rsidP="00644D0B">
            <w:pPr>
              <w:widowControl w:val="0"/>
              <w:autoSpaceDE w:val="0"/>
              <w:autoSpaceDN w:val="0"/>
              <w:adjustRightInd w:val="0"/>
              <w:spacing w:after="0" w:line="243" w:lineRule="exact"/>
              <w:ind w:left="61" w:right="180"/>
              <w:jc w:val="center"/>
              <w:rPr>
                <w:rFonts w:ascii="Times New Roman" w:hAnsi="Times New Roman"/>
                <w:sz w:val="24"/>
                <w:szCs w:val="24"/>
              </w:rPr>
            </w:pPr>
            <w:r>
              <w:rPr>
                <w:rFonts w:cs="Calibri"/>
                <w:b/>
                <w:bCs/>
                <w:sz w:val="20"/>
                <w:szCs w:val="20"/>
              </w:rPr>
              <w:t>MINIMUM COMMITMENT</w:t>
            </w:r>
          </w:p>
        </w:tc>
        <w:tc>
          <w:tcPr>
            <w:tcW w:w="6480" w:type="dxa"/>
            <w:shd w:val="clear" w:color="auto" w:fill="95B3D7" w:themeFill="accent1" w:themeFillTint="99"/>
            <w:vAlign w:val="bottom"/>
          </w:tcPr>
          <w:p w:rsidR="00CF0155" w:rsidRPr="00DE6934" w:rsidRDefault="00CF0155" w:rsidP="00644D0B">
            <w:pPr>
              <w:widowControl w:val="0"/>
              <w:autoSpaceDE w:val="0"/>
              <w:autoSpaceDN w:val="0"/>
              <w:adjustRightInd w:val="0"/>
              <w:spacing w:after="0" w:line="243" w:lineRule="exact"/>
              <w:ind w:left="100"/>
              <w:jc w:val="center"/>
              <w:rPr>
                <w:rFonts w:ascii="Times New Roman" w:hAnsi="Times New Roman"/>
                <w:sz w:val="24"/>
                <w:szCs w:val="24"/>
              </w:rPr>
            </w:pPr>
            <w:r>
              <w:rPr>
                <w:rFonts w:cs="Calibri"/>
                <w:b/>
                <w:bCs/>
                <w:sz w:val="20"/>
                <w:szCs w:val="20"/>
              </w:rPr>
              <w:t>OUTPUTS</w:t>
            </w:r>
          </w:p>
        </w:tc>
      </w:tr>
      <w:tr w:rsidR="00CF0155" w:rsidRPr="008B76DC" w:rsidTr="00CF0155">
        <w:trPr>
          <w:trHeight w:val="20"/>
        </w:trPr>
        <w:tc>
          <w:tcPr>
            <w:tcW w:w="559" w:type="dxa"/>
            <w:vMerge w:val="restart"/>
          </w:tcPr>
          <w:p w:rsidR="00CF0155" w:rsidRPr="00932A55" w:rsidRDefault="00CF0155" w:rsidP="00644D0B">
            <w:pPr>
              <w:widowControl w:val="0"/>
              <w:autoSpaceDE w:val="0"/>
              <w:autoSpaceDN w:val="0"/>
              <w:adjustRightInd w:val="0"/>
              <w:spacing w:after="0" w:line="240" w:lineRule="auto"/>
              <w:ind w:left="120"/>
              <w:rPr>
                <w:rFonts w:ascii="Calibri" w:hAnsi="Calibri" w:cs="Calibri"/>
                <w:b/>
                <w:iCs/>
                <w:sz w:val="20"/>
                <w:szCs w:val="20"/>
              </w:rPr>
            </w:pPr>
            <w:r w:rsidRPr="00932A55">
              <w:rPr>
                <w:rFonts w:ascii="Calibri" w:hAnsi="Calibri" w:cs="Calibri"/>
                <w:b/>
                <w:iCs/>
                <w:sz w:val="20"/>
                <w:szCs w:val="20"/>
              </w:rPr>
              <w:t>1</w:t>
            </w:r>
          </w:p>
        </w:tc>
        <w:tc>
          <w:tcPr>
            <w:tcW w:w="3600" w:type="dxa"/>
            <w:vMerge w:val="restart"/>
          </w:tcPr>
          <w:p w:rsidR="00CF0155" w:rsidRPr="004E4942" w:rsidRDefault="00CF0155" w:rsidP="00644D0B">
            <w:pPr>
              <w:spacing w:after="0" w:line="240" w:lineRule="auto"/>
              <w:ind w:left="61" w:right="180"/>
              <w:jc w:val="both"/>
              <w:rPr>
                <w:rFonts w:eastAsia="Times New Roman" w:cs="Times New Roman"/>
                <w:sz w:val="20"/>
                <w:szCs w:val="20"/>
                <w:lang w:val="en-NZ" w:eastAsia="en-NZ"/>
              </w:rPr>
            </w:pPr>
            <w:r w:rsidRPr="004E4942">
              <w:rPr>
                <w:rFonts w:eastAsia="Times New Roman" w:cs="Times New Roman"/>
                <w:b/>
                <w:sz w:val="20"/>
                <w:szCs w:val="20"/>
                <w:lang w:val="en-NZ" w:eastAsia="en-NZ"/>
              </w:rPr>
              <w:t>Consult separately</w:t>
            </w:r>
            <w:r w:rsidRPr="004E4942">
              <w:rPr>
                <w:rFonts w:eastAsia="Times New Roman" w:cs="Times New Roman"/>
                <w:sz w:val="20"/>
                <w:szCs w:val="20"/>
                <w:lang w:val="en-NZ" w:eastAsia="en-NZ"/>
              </w:rPr>
              <w:t xml:space="preserve"> girls, boys, women, and men, including older people and those with disabilities, to ensure that WASH programs are designed so as to provide equitable access and reduce risks of violence.</w:t>
            </w:r>
          </w:p>
        </w:tc>
        <w:tc>
          <w:tcPr>
            <w:tcW w:w="6480" w:type="dxa"/>
          </w:tcPr>
          <w:p w:rsidR="00CF0155" w:rsidRPr="004E4942" w:rsidRDefault="00CF0155" w:rsidP="00CF0155">
            <w:pPr>
              <w:pStyle w:val="ListParagraph"/>
              <w:numPr>
                <w:ilvl w:val="0"/>
                <w:numId w:val="8"/>
              </w:numPr>
              <w:spacing w:after="0" w:line="240" w:lineRule="auto"/>
              <w:ind w:left="421" w:right="180"/>
              <w:jc w:val="both"/>
              <w:rPr>
                <w:rFonts w:eastAsia="Times New Roman" w:cs="Times New Roman"/>
                <w:sz w:val="20"/>
                <w:szCs w:val="20"/>
                <w:lang w:val="en-NZ" w:eastAsia="en-NZ"/>
              </w:rPr>
            </w:pPr>
            <w:r w:rsidRPr="004E4942">
              <w:rPr>
                <w:rFonts w:eastAsia="Times New Roman" w:cs="Times New Roman"/>
                <w:sz w:val="20"/>
                <w:szCs w:val="20"/>
                <w:lang w:val="en-NZ" w:eastAsia="en-NZ"/>
              </w:rPr>
              <w:t>WASH assessments include identification of specific needs of girls, boys, women, men, including older people and persons with disability in terms of safety, dignity and equitable access.</w:t>
            </w:r>
          </w:p>
        </w:tc>
      </w:tr>
      <w:tr w:rsidR="00CF0155" w:rsidRPr="008B76DC" w:rsidTr="00CF0155">
        <w:trPr>
          <w:trHeight w:val="20"/>
        </w:trPr>
        <w:tc>
          <w:tcPr>
            <w:tcW w:w="559" w:type="dxa"/>
            <w:vMerge/>
          </w:tcPr>
          <w:p w:rsidR="00CF0155" w:rsidRPr="00932A55" w:rsidRDefault="00CF0155" w:rsidP="00644D0B">
            <w:pPr>
              <w:widowControl w:val="0"/>
              <w:autoSpaceDE w:val="0"/>
              <w:autoSpaceDN w:val="0"/>
              <w:adjustRightInd w:val="0"/>
              <w:spacing w:after="0" w:line="240" w:lineRule="auto"/>
              <w:ind w:left="120"/>
              <w:rPr>
                <w:rFonts w:ascii="Calibri" w:hAnsi="Calibri" w:cs="Calibri"/>
                <w:b/>
                <w:iCs/>
                <w:sz w:val="20"/>
                <w:szCs w:val="20"/>
              </w:rPr>
            </w:pPr>
          </w:p>
        </w:tc>
        <w:tc>
          <w:tcPr>
            <w:tcW w:w="3600" w:type="dxa"/>
            <w:vMerge/>
          </w:tcPr>
          <w:p w:rsidR="00CF0155" w:rsidRPr="004E4942" w:rsidRDefault="00CF0155" w:rsidP="00644D0B">
            <w:pPr>
              <w:spacing w:after="0" w:line="240" w:lineRule="auto"/>
              <w:ind w:left="61" w:right="180"/>
              <w:jc w:val="both"/>
              <w:rPr>
                <w:rFonts w:eastAsia="Times New Roman" w:cs="Times New Roman"/>
                <w:sz w:val="20"/>
                <w:szCs w:val="20"/>
                <w:lang w:val="en-NZ" w:eastAsia="en-NZ"/>
              </w:rPr>
            </w:pPr>
          </w:p>
        </w:tc>
        <w:tc>
          <w:tcPr>
            <w:tcW w:w="6480" w:type="dxa"/>
          </w:tcPr>
          <w:p w:rsidR="00CF0155" w:rsidRPr="004E4942" w:rsidRDefault="00CF0155" w:rsidP="00CF0155">
            <w:pPr>
              <w:numPr>
                <w:ilvl w:val="0"/>
                <w:numId w:val="8"/>
              </w:numPr>
              <w:spacing w:after="0" w:line="240" w:lineRule="auto"/>
              <w:ind w:left="421" w:right="180"/>
              <w:jc w:val="both"/>
              <w:rPr>
                <w:rFonts w:eastAsia="Times New Roman" w:cs="Times New Roman"/>
                <w:sz w:val="20"/>
                <w:szCs w:val="20"/>
                <w:lang w:val="en-NZ" w:eastAsia="en-NZ"/>
              </w:rPr>
            </w:pPr>
            <w:r w:rsidRPr="004E4942">
              <w:rPr>
                <w:rFonts w:eastAsia="Times New Roman" w:cs="Times New Roman"/>
                <w:sz w:val="20"/>
                <w:szCs w:val="20"/>
                <w:lang w:val="en-NZ" w:eastAsia="en-NZ"/>
              </w:rPr>
              <w:t>Location of WASH facilities and their design are determined through separate consultations of girls, boys, women, men, including older people and persons with disabilities in order to ensure equitable access and minimize risks of violence.</w:t>
            </w:r>
          </w:p>
        </w:tc>
      </w:tr>
      <w:tr w:rsidR="00CF0155" w:rsidRPr="008B76DC" w:rsidTr="00CF0155">
        <w:trPr>
          <w:trHeight w:val="20"/>
        </w:trPr>
        <w:tc>
          <w:tcPr>
            <w:tcW w:w="559" w:type="dxa"/>
            <w:vMerge w:val="restart"/>
          </w:tcPr>
          <w:p w:rsidR="00CF0155" w:rsidRPr="00932A55" w:rsidRDefault="00CF0155" w:rsidP="00644D0B">
            <w:pPr>
              <w:widowControl w:val="0"/>
              <w:autoSpaceDE w:val="0"/>
              <w:autoSpaceDN w:val="0"/>
              <w:adjustRightInd w:val="0"/>
              <w:spacing w:after="0" w:line="240" w:lineRule="auto"/>
              <w:ind w:left="120"/>
              <w:rPr>
                <w:rFonts w:ascii="Calibri" w:hAnsi="Calibri" w:cs="Calibri"/>
                <w:b/>
                <w:iCs/>
                <w:sz w:val="20"/>
                <w:szCs w:val="20"/>
              </w:rPr>
            </w:pPr>
            <w:r w:rsidRPr="00932A55">
              <w:rPr>
                <w:rFonts w:ascii="Calibri" w:hAnsi="Calibri" w:cs="Calibri"/>
                <w:b/>
                <w:iCs/>
                <w:sz w:val="20"/>
                <w:szCs w:val="20"/>
              </w:rPr>
              <w:t>2</w:t>
            </w:r>
          </w:p>
        </w:tc>
        <w:tc>
          <w:tcPr>
            <w:tcW w:w="3600" w:type="dxa"/>
            <w:vMerge w:val="restart"/>
          </w:tcPr>
          <w:p w:rsidR="00CF0155" w:rsidRPr="004E4942" w:rsidRDefault="00CF0155" w:rsidP="00644D0B">
            <w:pPr>
              <w:spacing w:after="0" w:line="240" w:lineRule="auto"/>
              <w:ind w:left="61" w:right="180"/>
              <w:jc w:val="both"/>
              <w:rPr>
                <w:rFonts w:eastAsia="Times New Roman" w:cs="Times New Roman"/>
                <w:sz w:val="20"/>
                <w:szCs w:val="20"/>
                <w:lang w:val="en-NZ" w:eastAsia="en-NZ"/>
              </w:rPr>
            </w:pPr>
            <w:r w:rsidRPr="004E4942">
              <w:rPr>
                <w:rFonts w:eastAsia="Times New Roman" w:cs="Times New Roman"/>
                <w:sz w:val="20"/>
                <w:szCs w:val="20"/>
                <w:lang w:val="en-NZ" w:eastAsia="en-NZ"/>
              </w:rPr>
              <w:t xml:space="preserve">Ensure that girls, boys, women, and men, including older people and those with disabilities have </w:t>
            </w:r>
            <w:r w:rsidRPr="004E4942">
              <w:rPr>
                <w:rFonts w:eastAsia="Times New Roman" w:cs="Times New Roman"/>
                <w:b/>
                <w:sz w:val="20"/>
                <w:szCs w:val="20"/>
                <w:lang w:val="en-NZ" w:eastAsia="en-NZ"/>
              </w:rPr>
              <w:t>access to appropriate and safe WASH services</w:t>
            </w:r>
            <w:r w:rsidRPr="004E4942">
              <w:rPr>
                <w:rFonts w:eastAsia="Times New Roman" w:cs="Times New Roman"/>
                <w:sz w:val="20"/>
                <w:szCs w:val="20"/>
                <w:lang w:val="en-NZ" w:eastAsia="en-NZ"/>
              </w:rPr>
              <w:t>.</w:t>
            </w:r>
          </w:p>
        </w:tc>
        <w:tc>
          <w:tcPr>
            <w:tcW w:w="6480" w:type="dxa"/>
          </w:tcPr>
          <w:p w:rsidR="00CF0155" w:rsidRPr="004E4942" w:rsidRDefault="00CF0155" w:rsidP="00CF0155">
            <w:pPr>
              <w:pStyle w:val="ListParagraph"/>
              <w:numPr>
                <w:ilvl w:val="0"/>
                <w:numId w:val="9"/>
              </w:numPr>
              <w:spacing w:after="0" w:line="240" w:lineRule="auto"/>
              <w:ind w:left="421" w:right="180"/>
              <w:jc w:val="both"/>
              <w:rPr>
                <w:rFonts w:eastAsia="Times New Roman" w:cs="Times New Roman"/>
                <w:sz w:val="20"/>
                <w:szCs w:val="20"/>
                <w:lang w:val="en-NZ" w:eastAsia="en-NZ"/>
              </w:rPr>
            </w:pPr>
            <w:r w:rsidRPr="004E4942">
              <w:rPr>
                <w:rFonts w:eastAsia="Times New Roman" w:cs="Times New Roman"/>
                <w:sz w:val="20"/>
                <w:szCs w:val="20"/>
                <w:lang w:val="en-NZ" w:eastAsia="en-NZ"/>
              </w:rPr>
              <w:t>WASH facilities are designed to respond to distinct dignity, safety and access needs (i.e. all public latrines and shower blocks are separated by sex, locks on the inside, privacy screens considered, lights, pictograms, specific design for people with disabilities…). This includes WASH facilities in spaces dedicated to children.</w:t>
            </w:r>
          </w:p>
        </w:tc>
      </w:tr>
      <w:tr w:rsidR="00CF0155" w:rsidRPr="008B76DC" w:rsidTr="00CF0155">
        <w:trPr>
          <w:trHeight w:val="20"/>
        </w:trPr>
        <w:tc>
          <w:tcPr>
            <w:tcW w:w="559" w:type="dxa"/>
            <w:vMerge/>
          </w:tcPr>
          <w:p w:rsidR="00CF0155" w:rsidRPr="00932A55" w:rsidRDefault="00CF0155" w:rsidP="00644D0B">
            <w:pPr>
              <w:widowControl w:val="0"/>
              <w:autoSpaceDE w:val="0"/>
              <w:autoSpaceDN w:val="0"/>
              <w:adjustRightInd w:val="0"/>
              <w:spacing w:after="0" w:line="240" w:lineRule="auto"/>
              <w:ind w:left="120"/>
              <w:rPr>
                <w:rFonts w:ascii="Calibri" w:hAnsi="Calibri" w:cs="Calibri"/>
                <w:b/>
                <w:iCs/>
                <w:sz w:val="20"/>
                <w:szCs w:val="20"/>
              </w:rPr>
            </w:pPr>
          </w:p>
        </w:tc>
        <w:tc>
          <w:tcPr>
            <w:tcW w:w="3600" w:type="dxa"/>
            <w:vMerge/>
          </w:tcPr>
          <w:p w:rsidR="00CF0155" w:rsidRPr="004E4942" w:rsidRDefault="00CF0155" w:rsidP="00644D0B">
            <w:pPr>
              <w:spacing w:after="0" w:line="240" w:lineRule="auto"/>
              <w:ind w:left="61" w:right="180"/>
              <w:jc w:val="both"/>
              <w:rPr>
                <w:rFonts w:eastAsia="Times New Roman" w:cs="Times New Roman"/>
                <w:sz w:val="20"/>
                <w:szCs w:val="20"/>
                <w:lang w:val="en-NZ" w:eastAsia="en-NZ"/>
              </w:rPr>
            </w:pPr>
          </w:p>
        </w:tc>
        <w:tc>
          <w:tcPr>
            <w:tcW w:w="6480" w:type="dxa"/>
          </w:tcPr>
          <w:p w:rsidR="00CF0155" w:rsidRPr="004E4942" w:rsidRDefault="00CF0155" w:rsidP="00CF0155">
            <w:pPr>
              <w:pStyle w:val="ListParagraph"/>
              <w:numPr>
                <w:ilvl w:val="0"/>
                <w:numId w:val="9"/>
              </w:numPr>
              <w:spacing w:after="0" w:line="240" w:lineRule="auto"/>
              <w:ind w:left="421" w:right="180"/>
              <w:jc w:val="both"/>
              <w:rPr>
                <w:rFonts w:eastAsia="Times New Roman" w:cs="Times New Roman"/>
                <w:sz w:val="20"/>
                <w:szCs w:val="20"/>
                <w:lang w:val="en-NZ" w:eastAsia="en-NZ"/>
              </w:rPr>
            </w:pPr>
            <w:r w:rsidRPr="004E4942">
              <w:rPr>
                <w:rFonts w:eastAsia="Times New Roman" w:cs="Times New Roman"/>
                <w:sz w:val="20"/>
                <w:szCs w:val="20"/>
                <w:lang w:val="en-NZ" w:eastAsia="en-NZ"/>
              </w:rPr>
              <w:t>Menstrual hygiene needs of girls and women are met.</w:t>
            </w:r>
          </w:p>
        </w:tc>
      </w:tr>
      <w:tr w:rsidR="00CF0155" w:rsidRPr="008B76DC" w:rsidTr="00CF0155">
        <w:trPr>
          <w:trHeight w:val="20"/>
        </w:trPr>
        <w:tc>
          <w:tcPr>
            <w:tcW w:w="559" w:type="dxa"/>
            <w:vMerge w:val="restart"/>
          </w:tcPr>
          <w:p w:rsidR="00CF0155" w:rsidRPr="00932A55" w:rsidRDefault="00CF0155" w:rsidP="00644D0B">
            <w:pPr>
              <w:widowControl w:val="0"/>
              <w:autoSpaceDE w:val="0"/>
              <w:autoSpaceDN w:val="0"/>
              <w:adjustRightInd w:val="0"/>
              <w:spacing w:after="0" w:line="240" w:lineRule="auto"/>
              <w:ind w:left="120"/>
              <w:rPr>
                <w:rFonts w:ascii="Calibri" w:hAnsi="Calibri" w:cs="Calibri"/>
                <w:b/>
                <w:iCs/>
                <w:sz w:val="20"/>
                <w:szCs w:val="20"/>
              </w:rPr>
            </w:pPr>
            <w:r w:rsidRPr="00932A55">
              <w:rPr>
                <w:rFonts w:ascii="Calibri" w:hAnsi="Calibri" w:cs="Calibri"/>
                <w:b/>
                <w:iCs/>
                <w:sz w:val="20"/>
                <w:szCs w:val="20"/>
              </w:rPr>
              <w:t>3</w:t>
            </w:r>
          </w:p>
        </w:tc>
        <w:tc>
          <w:tcPr>
            <w:tcW w:w="3600" w:type="dxa"/>
            <w:vMerge w:val="restart"/>
          </w:tcPr>
          <w:p w:rsidR="00CF0155" w:rsidRPr="004E4942" w:rsidRDefault="00CF0155" w:rsidP="00644D0B">
            <w:pPr>
              <w:spacing w:after="0" w:line="240" w:lineRule="auto"/>
              <w:ind w:left="61" w:right="180"/>
              <w:jc w:val="both"/>
              <w:rPr>
                <w:rFonts w:eastAsia="Times New Roman" w:cs="Times New Roman"/>
                <w:sz w:val="20"/>
                <w:szCs w:val="20"/>
                <w:lang w:val="en-NZ" w:eastAsia="en-NZ"/>
              </w:rPr>
            </w:pPr>
            <w:r w:rsidRPr="004E4942">
              <w:rPr>
                <w:rFonts w:eastAsia="Times New Roman" w:cs="Times New Roman"/>
                <w:sz w:val="20"/>
                <w:szCs w:val="20"/>
                <w:lang w:val="en-NZ" w:eastAsia="en-NZ"/>
              </w:rPr>
              <w:t xml:space="preserve">Ensure that girls, boys, women, and men, including older people and those with disabilities, have </w:t>
            </w:r>
            <w:r w:rsidRPr="004E4942">
              <w:rPr>
                <w:rFonts w:eastAsia="Times New Roman" w:cs="Times New Roman"/>
                <w:b/>
                <w:sz w:val="20"/>
                <w:szCs w:val="20"/>
                <w:lang w:val="en-NZ" w:eastAsia="en-NZ"/>
              </w:rPr>
              <w:t>access to feedback &amp; complaint mechanisms</w:t>
            </w:r>
            <w:r w:rsidRPr="004E4942">
              <w:rPr>
                <w:rFonts w:eastAsia="Times New Roman" w:cs="Times New Roman"/>
                <w:sz w:val="20"/>
                <w:szCs w:val="20"/>
                <w:lang w:val="en-NZ" w:eastAsia="en-NZ"/>
              </w:rPr>
              <w:t xml:space="preserve"> so that corrective actions can address their specific protection and assistance needs.</w:t>
            </w:r>
          </w:p>
        </w:tc>
        <w:tc>
          <w:tcPr>
            <w:tcW w:w="6480" w:type="dxa"/>
          </w:tcPr>
          <w:p w:rsidR="00CF0155" w:rsidRPr="004E4942" w:rsidRDefault="00CF0155" w:rsidP="00CF0155">
            <w:pPr>
              <w:numPr>
                <w:ilvl w:val="0"/>
                <w:numId w:val="10"/>
              </w:numPr>
              <w:spacing w:after="0" w:line="240" w:lineRule="auto"/>
              <w:ind w:left="421" w:right="180"/>
              <w:jc w:val="both"/>
              <w:rPr>
                <w:rFonts w:eastAsia="Times New Roman" w:cs="Times New Roman"/>
                <w:sz w:val="20"/>
                <w:szCs w:val="20"/>
                <w:lang w:val="en-NZ" w:eastAsia="en-NZ"/>
              </w:rPr>
            </w:pPr>
            <w:r w:rsidRPr="004E4942">
              <w:rPr>
                <w:rFonts w:eastAsia="Times New Roman" w:cs="Times New Roman"/>
                <w:sz w:val="20"/>
                <w:szCs w:val="20"/>
                <w:lang w:val="en-NZ" w:eastAsia="en-NZ"/>
              </w:rPr>
              <w:t>WASH users (girls, boys, women, men, including elders and persons with disabilities) are informed of their rights and understand the feedback complaint mechanisms related to WASH programs.</w:t>
            </w:r>
          </w:p>
        </w:tc>
      </w:tr>
      <w:tr w:rsidR="00CF0155" w:rsidRPr="008B76DC" w:rsidTr="00CF0155">
        <w:trPr>
          <w:trHeight w:val="20"/>
        </w:trPr>
        <w:tc>
          <w:tcPr>
            <w:tcW w:w="559" w:type="dxa"/>
            <w:vMerge/>
          </w:tcPr>
          <w:p w:rsidR="00CF0155" w:rsidRPr="00932A55" w:rsidRDefault="00CF0155" w:rsidP="00644D0B">
            <w:pPr>
              <w:widowControl w:val="0"/>
              <w:autoSpaceDE w:val="0"/>
              <w:autoSpaceDN w:val="0"/>
              <w:adjustRightInd w:val="0"/>
              <w:spacing w:after="0" w:line="240" w:lineRule="auto"/>
              <w:ind w:left="120"/>
              <w:rPr>
                <w:rFonts w:ascii="Calibri" w:hAnsi="Calibri" w:cs="Calibri"/>
                <w:b/>
                <w:iCs/>
                <w:sz w:val="20"/>
                <w:szCs w:val="20"/>
              </w:rPr>
            </w:pPr>
          </w:p>
        </w:tc>
        <w:tc>
          <w:tcPr>
            <w:tcW w:w="3600" w:type="dxa"/>
            <w:vMerge/>
          </w:tcPr>
          <w:p w:rsidR="00CF0155" w:rsidRPr="004E4942" w:rsidRDefault="00CF0155" w:rsidP="00644D0B">
            <w:pPr>
              <w:spacing w:after="0" w:line="240" w:lineRule="auto"/>
              <w:ind w:left="61" w:right="180"/>
              <w:jc w:val="both"/>
              <w:rPr>
                <w:rFonts w:eastAsia="Times New Roman" w:cs="Times New Roman"/>
                <w:sz w:val="20"/>
                <w:szCs w:val="20"/>
                <w:lang w:val="en-NZ" w:eastAsia="en-NZ"/>
              </w:rPr>
            </w:pPr>
          </w:p>
        </w:tc>
        <w:tc>
          <w:tcPr>
            <w:tcW w:w="6480" w:type="dxa"/>
          </w:tcPr>
          <w:p w:rsidR="00CF0155" w:rsidRPr="004E4942" w:rsidRDefault="00CF0155" w:rsidP="00CF0155">
            <w:pPr>
              <w:numPr>
                <w:ilvl w:val="0"/>
                <w:numId w:val="10"/>
              </w:numPr>
              <w:spacing w:after="0" w:line="240" w:lineRule="auto"/>
              <w:ind w:left="421" w:right="180"/>
              <w:jc w:val="both"/>
              <w:rPr>
                <w:rFonts w:eastAsia="Times New Roman" w:cs="Times New Roman"/>
                <w:sz w:val="20"/>
                <w:szCs w:val="20"/>
                <w:lang w:val="en-NZ" w:eastAsia="en-NZ"/>
              </w:rPr>
            </w:pPr>
            <w:r w:rsidRPr="004E4942">
              <w:rPr>
                <w:rFonts w:eastAsia="Times New Roman" w:cs="Times New Roman"/>
                <w:sz w:val="20"/>
                <w:szCs w:val="20"/>
                <w:lang w:val="en-NZ" w:eastAsia="en-NZ"/>
              </w:rPr>
              <w:t>The cluster member organisations and coordination platforms set up a feedback mechanism with and for beneficiaries and take timely corrective actions to address safety, dignity and access issues raised by users and/or to redefine their assistance.</w:t>
            </w:r>
          </w:p>
        </w:tc>
      </w:tr>
      <w:tr w:rsidR="00CF0155" w:rsidRPr="008B76DC" w:rsidTr="00CF0155">
        <w:trPr>
          <w:trHeight w:val="20"/>
        </w:trPr>
        <w:tc>
          <w:tcPr>
            <w:tcW w:w="559" w:type="dxa"/>
            <w:vMerge w:val="restart"/>
          </w:tcPr>
          <w:p w:rsidR="00CF0155" w:rsidRPr="00932A55" w:rsidRDefault="00CF0155" w:rsidP="00644D0B">
            <w:pPr>
              <w:widowControl w:val="0"/>
              <w:autoSpaceDE w:val="0"/>
              <w:autoSpaceDN w:val="0"/>
              <w:adjustRightInd w:val="0"/>
              <w:spacing w:after="0" w:line="240" w:lineRule="auto"/>
              <w:ind w:left="120"/>
              <w:rPr>
                <w:rFonts w:ascii="Calibri" w:hAnsi="Calibri" w:cs="Calibri"/>
                <w:b/>
                <w:iCs/>
                <w:sz w:val="20"/>
                <w:szCs w:val="20"/>
              </w:rPr>
            </w:pPr>
            <w:r w:rsidRPr="00932A55">
              <w:rPr>
                <w:rFonts w:ascii="Calibri" w:hAnsi="Calibri" w:cs="Calibri"/>
                <w:b/>
                <w:iCs/>
                <w:sz w:val="20"/>
                <w:szCs w:val="20"/>
              </w:rPr>
              <w:t>4</w:t>
            </w:r>
          </w:p>
        </w:tc>
        <w:tc>
          <w:tcPr>
            <w:tcW w:w="3600" w:type="dxa"/>
            <w:vMerge w:val="restart"/>
          </w:tcPr>
          <w:p w:rsidR="00CF0155" w:rsidRPr="004E4942" w:rsidRDefault="00CF0155" w:rsidP="00644D0B">
            <w:pPr>
              <w:spacing w:after="0" w:line="240" w:lineRule="auto"/>
              <w:ind w:left="61" w:right="180"/>
              <w:jc w:val="both"/>
              <w:rPr>
                <w:rFonts w:eastAsia="Times New Roman" w:cs="Times New Roman"/>
                <w:sz w:val="20"/>
                <w:szCs w:val="20"/>
                <w:lang w:val="en-NZ" w:eastAsia="en-NZ"/>
              </w:rPr>
            </w:pPr>
            <w:r w:rsidRPr="004E4942">
              <w:rPr>
                <w:rFonts w:eastAsia="Times New Roman" w:cs="Times New Roman"/>
                <w:b/>
                <w:sz w:val="20"/>
                <w:szCs w:val="20"/>
                <w:lang w:val="en-NZ" w:eastAsia="en-NZ"/>
              </w:rPr>
              <w:t>Monitor and evaluate safe and equitable access and use</w:t>
            </w:r>
            <w:r w:rsidRPr="004E4942">
              <w:rPr>
                <w:rFonts w:eastAsia="Times New Roman" w:cs="Times New Roman"/>
                <w:sz w:val="20"/>
                <w:szCs w:val="20"/>
                <w:lang w:val="en-NZ" w:eastAsia="en-NZ"/>
              </w:rPr>
              <w:t xml:space="preserve"> of WASH services in WASH projects.</w:t>
            </w:r>
          </w:p>
        </w:tc>
        <w:tc>
          <w:tcPr>
            <w:tcW w:w="6480" w:type="dxa"/>
          </w:tcPr>
          <w:p w:rsidR="00CF0155" w:rsidRPr="004E4942" w:rsidRDefault="00CF0155" w:rsidP="00CF0155">
            <w:pPr>
              <w:numPr>
                <w:ilvl w:val="0"/>
                <w:numId w:val="11"/>
              </w:numPr>
              <w:spacing w:after="0" w:line="240" w:lineRule="auto"/>
              <w:ind w:left="421" w:right="180"/>
              <w:jc w:val="both"/>
              <w:rPr>
                <w:rFonts w:eastAsia="Times New Roman" w:cs="Times New Roman"/>
                <w:sz w:val="20"/>
                <w:szCs w:val="20"/>
                <w:lang w:val="en-NZ" w:eastAsia="en-NZ"/>
              </w:rPr>
            </w:pPr>
            <w:r w:rsidRPr="004E4942">
              <w:rPr>
                <w:rFonts w:eastAsia="Times New Roman" w:cs="Times New Roman"/>
                <w:sz w:val="20"/>
                <w:szCs w:val="20"/>
                <w:lang w:val="en-NZ" w:eastAsia="en-NZ"/>
              </w:rPr>
              <w:t>Baselines and M&amp;E tools include the collection of sex and age disaggregated data on the access and use of WASH facilities, including on how safe people feel using WASH facilities.</w:t>
            </w:r>
          </w:p>
        </w:tc>
      </w:tr>
      <w:tr w:rsidR="00CF0155" w:rsidRPr="008B76DC" w:rsidTr="00CF0155">
        <w:trPr>
          <w:trHeight w:val="20"/>
        </w:trPr>
        <w:tc>
          <w:tcPr>
            <w:tcW w:w="559" w:type="dxa"/>
            <w:vMerge/>
          </w:tcPr>
          <w:p w:rsidR="00CF0155" w:rsidRPr="00932A55" w:rsidRDefault="00CF0155" w:rsidP="00644D0B">
            <w:pPr>
              <w:widowControl w:val="0"/>
              <w:autoSpaceDE w:val="0"/>
              <w:autoSpaceDN w:val="0"/>
              <w:adjustRightInd w:val="0"/>
              <w:spacing w:after="0" w:line="240" w:lineRule="auto"/>
              <w:ind w:left="120"/>
              <w:rPr>
                <w:rFonts w:ascii="Calibri" w:hAnsi="Calibri" w:cs="Calibri"/>
                <w:b/>
                <w:iCs/>
                <w:sz w:val="20"/>
                <w:szCs w:val="20"/>
              </w:rPr>
            </w:pPr>
          </w:p>
        </w:tc>
        <w:tc>
          <w:tcPr>
            <w:tcW w:w="3600" w:type="dxa"/>
            <w:vMerge/>
          </w:tcPr>
          <w:p w:rsidR="00CF0155" w:rsidRPr="004E4942" w:rsidRDefault="00CF0155" w:rsidP="00644D0B">
            <w:pPr>
              <w:spacing w:after="0" w:line="240" w:lineRule="auto"/>
              <w:ind w:left="61" w:right="180"/>
              <w:jc w:val="both"/>
              <w:rPr>
                <w:rFonts w:eastAsia="Times New Roman" w:cs="Times New Roman"/>
                <w:sz w:val="20"/>
                <w:szCs w:val="20"/>
                <w:lang w:val="en-NZ" w:eastAsia="en-NZ"/>
              </w:rPr>
            </w:pPr>
          </w:p>
        </w:tc>
        <w:tc>
          <w:tcPr>
            <w:tcW w:w="6480" w:type="dxa"/>
          </w:tcPr>
          <w:p w:rsidR="00CF0155" w:rsidRPr="004E4942" w:rsidRDefault="00CF0155" w:rsidP="00CF0155">
            <w:pPr>
              <w:numPr>
                <w:ilvl w:val="0"/>
                <w:numId w:val="11"/>
              </w:numPr>
              <w:spacing w:after="0" w:line="240" w:lineRule="auto"/>
              <w:ind w:left="421" w:right="180"/>
              <w:jc w:val="both"/>
              <w:rPr>
                <w:rFonts w:eastAsia="Times New Roman" w:cs="Times New Roman"/>
                <w:sz w:val="20"/>
                <w:szCs w:val="20"/>
                <w:lang w:val="en-NZ" w:eastAsia="en-NZ"/>
              </w:rPr>
            </w:pPr>
            <w:r w:rsidRPr="004E4942">
              <w:rPr>
                <w:rFonts w:eastAsia="Times New Roman" w:cs="Times New Roman"/>
                <w:sz w:val="20"/>
                <w:szCs w:val="20"/>
                <w:lang w:val="en-NZ" w:eastAsia="en-NZ"/>
              </w:rPr>
              <w:t>Collection and analysis of disaggregated data on beneficiaries and information on older people and persons with disability contributes to improving safe and equitable access and use of WASH services for vulnerable population.</w:t>
            </w:r>
          </w:p>
        </w:tc>
      </w:tr>
      <w:tr w:rsidR="00CF0155" w:rsidRPr="008B76DC" w:rsidTr="00CF0155">
        <w:trPr>
          <w:trHeight w:val="20"/>
        </w:trPr>
        <w:tc>
          <w:tcPr>
            <w:tcW w:w="559" w:type="dxa"/>
          </w:tcPr>
          <w:p w:rsidR="00CF0155" w:rsidRPr="00932A55" w:rsidRDefault="00CF0155" w:rsidP="00644D0B">
            <w:pPr>
              <w:widowControl w:val="0"/>
              <w:autoSpaceDE w:val="0"/>
              <w:autoSpaceDN w:val="0"/>
              <w:adjustRightInd w:val="0"/>
              <w:spacing w:after="0" w:line="240" w:lineRule="auto"/>
              <w:ind w:left="120"/>
              <w:rPr>
                <w:rFonts w:ascii="Calibri" w:hAnsi="Calibri" w:cs="Calibri"/>
                <w:b/>
                <w:iCs/>
                <w:sz w:val="20"/>
                <w:szCs w:val="20"/>
              </w:rPr>
            </w:pPr>
            <w:r w:rsidRPr="00932A55">
              <w:rPr>
                <w:rFonts w:ascii="Calibri" w:hAnsi="Calibri" w:cs="Calibri"/>
                <w:b/>
                <w:iCs/>
                <w:sz w:val="20"/>
                <w:szCs w:val="20"/>
              </w:rPr>
              <w:t>5</w:t>
            </w:r>
          </w:p>
        </w:tc>
        <w:tc>
          <w:tcPr>
            <w:tcW w:w="3600" w:type="dxa"/>
          </w:tcPr>
          <w:p w:rsidR="00CF0155" w:rsidRPr="004E4942" w:rsidRDefault="00CF0155" w:rsidP="00644D0B">
            <w:pPr>
              <w:spacing w:after="0" w:line="240" w:lineRule="auto"/>
              <w:ind w:left="61" w:right="180"/>
              <w:jc w:val="both"/>
              <w:rPr>
                <w:rFonts w:eastAsia="Times New Roman" w:cs="Times New Roman"/>
                <w:sz w:val="20"/>
                <w:szCs w:val="20"/>
                <w:lang w:val="en-NZ" w:eastAsia="en-NZ"/>
              </w:rPr>
            </w:pPr>
            <w:r w:rsidRPr="004E4942">
              <w:rPr>
                <w:rFonts w:eastAsia="Times New Roman" w:cs="Times New Roman"/>
                <w:b/>
                <w:sz w:val="20"/>
                <w:szCs w:val="20"/>
                <w:lang w:val="en-NZ" w:eastAsia="en-NZ"/>
              </w:rPr>
              <w:t>Give priority to girls</w:t>
            </w:r>
            <w:r w:rsidRPr="004E4942">
              <w:rPr>
                <w:rFonts w:eastAsia="Times New Roman" w:cs="Times New Roman"/>
                <w:sz w:val="20"/>
                <w:szCs w:val="20"/>
                <w:lang w:val="en-NZ" w:eastAsia="en-NZ"/>
              </w:rPr>
              <w:t xml:space="preserve"> (particularly adolescents) </w:t>
            </w:r>
            <w:r w:rsidRPr="004E4942">
              <w:rPr>
                <w:rFonts w:eastAsia="Times New Roman" w:cs="Times New Roman"/>
                <w:b/>
                <w:sz w:val="20"/>
                <w:szCs w:val="20"/>
                <w:lang w:val="en-NZ" w:eastAsia="en-NZ"/>
              </w:rPr>
              <w:t>and women’s participation</w:t>
            </w:r>
            <w:r w:rsidRPr="004E4942">
              <w:rPr>
                <w:rFonts w:eastAsia="Times New Roman" w:cs="Times New Roman"/>
                <w:sz w:val="20"/>
                <w:szCs w:val="20"/>
                <w:lang w:val="en-NZ" w:eastAsia="en-NZ"/>
              </w:rPr>
              <w:t xml:space="preserve"> in the consultation process.</w:t>
            </w:r>
          </w:p>
        </w:tc>
        <w:tc>
          <w:tcPr>
            <w:tcW w:w="6480" w:type="dxa"/>
          </w:tcPr>
          <w:p w:rsidR="00CF0155" w:rsidRPr="004E4942" w:rsidRDefault="00CF0155" w:rsidP="00CF0155">
            <w:pPr>
              <w:widowControl w:val="0"/>
              <w:numPr>
                <w:ilvl w:val="0"/>
                <w:numId w:val="12"/>
              </w:numPr>
              <w:autoSpaceDE w:val="0"/>
              <w:autoSpaceDN w:val="0"/>
              <w:adjustRightInd w:val="0"/>
              <w:spacing w:after="0" w:line="240" w:lineRule="auto"/>
              <w:ind w:left="421" w:right="180"/>
              <w:rPr>
                <w:rFonts w:eastAsia="Times New Roman" w:cs="Times New Roman"/>
                <w:sz w:val="20"/>
                <w:szCs w:val="20"/>
                <w:lang w:val="en-NZ" w:eastAsia="en-NZ"/>
              </w:rPr>
            </w:pPr>
            <w:r w:rsidRPr="004E4942">
              <w:rPr>
                <w:rFonts w:eastAsia="Times New Roman" w:cs="Times New Roman"/>
                <w:sz w:val="20"/>
                <w:szCs w:val="20"/>
                <w:lang w:val="en-NZ" w:eastAsia="en-NZ"/>
              </w:rPr>
              <w:t>Specific focus group discussions are organized for women and girls during the needs assessment phase and across the response.</w:t>
            </w:r>
          </w:p>
        </w:tc>
      </w:tr>
    </w:tbl>
    <w:p w:rsidR="00382831" w:rsidRPr="00CF0155" w:rsidRDefault="00382831" w:rsidP="00CF0155">
      <w:pPr>
        <w:rPr>
          <w:rFonts w:eastAsia="Times New Roman" w:cs="Times New Roman"/>
          <w:color w:val="000000"/>
          <w:lang w:eastAsia="en-NZ"/>
        </w:rPr>
      </w:pPr>
    </w:p>
    <w:sectPr w:rsidR="00382831" w:rsidRPr="00CF01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80000000" w:usb2="00000008"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524EF"/>
    <w:multiLevelType w:val="multilevel"/>
    <w:tmpl w:val="509281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BD04E69"/>
    <w:multiLevelType w:val="hybridMultilevel"/>
    <w:tmpl w:val="A61AD984"/>
    <w:lvl w:ilvl="0" w:tplc="CE72977A">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116AB2"/>
    <w:multiLevelType w:val="hybridMultilevel"/>
    <w:tmpl w:val="86ECB3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F2450A7"/>
    <w:multiLevelType w:val="hybridMultilevel"/>
    <w:tmpl w:val="BE402D6E"/>
    <w:lvl w:ilvl="0" w:tplc="04090001">
      <w:start w:val="1"/>
      <w:numFmt w:val="bullet"/>
      <w:lvlText w:val=""/>
      <w:lvlJc w:val="left"/>
      <w:pPr>
        <w:ind w:left="720" w:hanging="360"/>
      </w:pPr>
      <w:rPr>
        <w:rFonts w:ascii="Symbol" w:hAnsi="Symbol"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256139C4"/>
    <w:multiLevelType w:val="hybridMultilevel"/>
    <w:tmpl w:val="6C5676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224B51"/>
    <w:multiLevelType w:val="hybridMultilevel"/>
    <w:tmpl w:val="491899D6"/>
    <w:lvl w:ilvl="0" w:tplc="04090001">
      <w:start w:val="1"/>
      <w:numFmt w:val="bullet"/>
      <w:lvlText w:val=""/>
      <w:lvlJc w:val="left"/>
      <w:pPr>
        <w:ind w:left="720" w:hanging="360"/>
      </w:pPr>
      <w:rPr>
        <w:rFonts w:ascii="Symbol" w:hAnsi="Symbol"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429813A0"/>
    <w:multiLevelType w:val="hybridMultilevel"/>
    <w:tmpl w:val="100AD278"/>
    <w:lvl w:ilvl="0" w:tplc="04090001">
      <w:start w:val="1"/>
      <w:numFmt w:val="bullet"/>
      <w:lvlText w:val=""/>
      <w:lvlJc w:val="left"/>
      <w:pPr>
        <w:ind w:left="720" w:hanging="360"/>
      </w:pPr>
      <w:rPr>
        <w:rFonts w:ascii="Symbol" w:hAnsi="Symbol"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45D8347D"/>
    <w:multiLevelType w:val="hybridMultilevel"/>
    <w:tmpl w:val="C5E8D40E"/>
    <w:lvl w:ilvl="0" w:tplc="04090001">
      <w:start w:val="1"/>
      <w:numFmt w:val="bullet"/>
      <w:lvlText w:val=""/>
      <w:lvlJc w:val="left"/>
      <w:pPr>
        <w:ind w:left="720" w:hanging="360"/>
      </w:pPr>
      <w:rPr>
        <w:rFonts w:ascii="Symbol" w:hAnsi="Symbol"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4CC01755"/>
    <w:multiLevelType w:val="hybridMultilevel"/>
    <w:tmpl w:val="AB56825A"/>
    <w:lvl w:ilvl="0" w:tplc="04090001">
      <w:start w:val="1"/>
      <w:numFmt w:val="bullet"/>
      <w:lvlText w:val=""/>
      <w:lvlJc w:val="left"/>
      <w:pPr>
        <w:ind w:left="720" w:hanging="360"/>
      </w:pPr>
      <w:rPr>
        <w:rFonts w:ascii="Symbol" w:hAnsi="Symbol"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55167F4F"/>
    <w:multiLevelType w:val="hybridMultilevel"/>
    <w:tmpl w:val="8F5E7078"/>
    <w:lvl w:ilvl="0" w:tplc="6B60A4E6">
      <w:numFmt w:val="bullet"/>
      <w:lvlText w:val="-"/>
      <w:lvlJc w:val="left"/>
      <w:pPr>
        <w:ind w:left="720" w:hanging="360"/>
      </w:pPr>
      <w:rPr>
        <w:rFonts w:ascii="Calibri" w:eastAsia="Times New Roman" w:hAnsi="Calibri" w:cs="Times New Roman" w:hint="default"/>
        <w:color w:val="1F497D"/>
        <w:sz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1785355"/>
    <w:multiLevelType w:val="hybridMultilevel"/>
    <w:tmpl w:val="55F285A0"/>
    <w:lvl w:ilvl="0" w:tplc="6B60A4E6">
      <w:numFmt w:val="bullet"/>
      <w:lvlText w:val="-"/>
      <w:lvlJc w:val="left"/>
      <w:pPr>
        <w:ind w:left="720" w:hanging="360"/>
      </w:pPr>
      <w:rPr>
        <w:rFonts w:ascii="Calibri" w:eastAsia="Times New Roman" w:hAnsi="Calibri" w:cs="Times New Roman" w:hint="default"/>
        <w:color w:val="1F497D"/>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2"/>
  </w:num>
  <w:num w:numId="5">
    <w:abstractNumId w:val="10"/>
  </w:num>
  <w:num w:numId="6">
    <w:abstractNumId w:val="4"/>
  </w:num>
  <w:num w:numId="7">
    <w:abstractNumId w:val="1"/>
  </w:num>
  <w:num w:numId="8">
    <w:abstractNumId w:val="7"/>
  </w:num>
  <w:num w:numId="9">
    <w:abstractNumId w:val="5"/>
  </w:num>
  <w:num w:numId="10">
    <w:abstractNumId w:val="8"/>
  </w:num>
  <w:num w:numId="11">
    <w:abstractNumId w:val="3"/>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976"/>
    <w:rsid w:val="0004748A"/>
    <w:rsid w:val="002C5481"/>
    <w:rsid w:val="003315A1"/>
    <w:rsid w:val="00382831"/>
    <w:rsid w:val="003D3649"/>
    <w:rsid w:val="00521AFA"/>
    <w:rsid w:val="0063283A"/>
    <w:rsid w:val="00642FD0"/>
    <w:rsid w:val="0067587F"/>
    <w:rsid w:val="00715053"/>
    <w:rsid w:val="007F56E5"/>
    <w:rsid w:val="009A00A2"/>
    <w:rsid w:val="00B3621D"/>
    <w:rsid w:val="00B530B8"/>
    <w:rsid w:val="00BA266E"/>
    <w:rsid w:val="00C203F5"/>
    <w:rsid w:val="00CC77C4"/>
    <w:rsid w:val="00CF0155"/>
    <w:rsid w:val="00D21976"/>
    <w:rsid w:val="00DD10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77C4"/>
    <w:pPr>
      <w:ind w:left="720"/>
      <w:contextualSpacing/>
    </w:pPr>
  </w:style>
  <w:style w:type="table" w:styleId="TableGrid">
    <w:name w:val="Table Grid"/>
    <w:basedOn w:val="TableNormal"/>
    <w:uiPriority w:val="39"/>
    <w:rsid w:val="003D3649"/>
    <w:pPr>
      <w:spacing w:after="0" w:line="240" w:lineRule="auto"/>
    </w:pPr>
    <w:rPr>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chacontenttextChar">
    <w:name w:val="ocha_content_text Char"/>
    <w:link w:val="ochacontenttext"/>
    <w:locked/>
    <w:rsid w:val="00DD10EE"/>
    <w:rPr>
      <w:rFonts w:ascii="Arial" w:eastAsia="PMingLiU" w:hAnsi="Arial" w:cs="Times New Roman"/>
      <w:color w:val="404040"/>
      <w:sz w:val="20"/>
      <w:szCs w:val="24"/>
      <w:lang w:eastAsia="zh-TW"/>
    </w:rPr>
  </w:style>
  <w:style w:type="paragraph" w:customStyle="1" w:styleId="ochacontenttext">
    <w:name w:val="ocha_content_text"/>
    <w:link w:val="ochacontenttextChar"/>
    <w:qFormat/>
    <w:rsid w:val="00DD10EE"/>
    <w:pPr>
      <w:spacing w:after="100" w:line="240" w:lineRule="auto"/>
    </w:pPr>
    <w:rPr>
      <w:rFonts w:ascii="Arial" w:eastAsia="PMingLiU" w:hAnsi="Arial" w:cs="Times New Roman"/>
      <w:color w:val="404040"/>
      <w:sz w:val="20"/>
      <w:szCs w:val="24"/>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77C4"/>
    <w:pPr>
      <w:ind w:left="720"/>
      <w:contextualSpacing/>
    </w:pPr>
  </w:style>
  <w:style w:type="table" w:styleId="TableGrid">
    <w:name w:val="Table Grid"/>
    <w:basedOn w:val="TableNormal"/>
    <w:uiPriority w:val="39"/>
    <w:rsid w:val="003D3649"/>
    <w:pPr>
      <w:spacing w:after="0" w:line="240" w:lineRule="auto"/>
    </w:pPr>
    <w:rPr>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chacontenttextChar">
    <w:name w:val="ocha_content_text Char"/>
    <w:link w:val="ochacontenttext"/>
    <w:locked/>
    <w:rsid w:val="00DD10EE"/>
    <w:rPr>
      <w:rFonts w:ascii="Arial" w:eastAsia="PMingLiU" w:hAnsi="Arial" w:cs="Times New Roman"/>
      <w:color w:val="404040"/>
      <w:sz w:val="20"/>
      <w:szCs w:val="24"/>
      <w:lang w:eastAsia="zh-TW"/>
    </w:rPr>
  </w:style>
  <w:style w:type="paragraph" w:customStyle="1" w:styleId="ochacontenttext">
    <w:name w:val="ocha_content_text"/>
    <w:link w:val="ochacontenttextChar"/>
    <w:qFormat/>
    <w:rsid w:val="00DD10EE"/>
    <w:pPr>
      <w:spacing w:after="100" w:line="240" w:lineRule="auto"/>
    </w:pPr>
    <w:rPr>
      <w:rFonts w:ascii="Arial" w:eastAsia="PMingLiU" w:hAnsi="Arial" w:cs="Times New Roman"/>
      <w:color w:val="404040"/>
      <w:sz w:val="20"/>
      <w:szCs w:val="24"/>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02181">
      <w:bodyDiv w:val="1"/>
      <w:marLeft w:val="0"/>
      <w:marRight w:val="0"/>
      <w:marTop w:val="0"/>
      <w:marBottom w:val="0"/>
      <w:divBdr>
        <w:top w:val="none" w:sz="0" w:space="0" w:color="auto"/>
        <w:left w:val="none" w:sz="0" w:space="0" w:color="auto"/>
        <w:bottom w:val="none" w:sz="0" w:space="0" w:color="auto"/>
        <w:right w:val="none" w:sz="0" w:space="0" w:color="auto"/>
      </w:divBdr>
    </w:div>
    <w:div w:id="870414514">
      <w:bodyDiv w:val="1"/>
      <w:marLeft w:val="0"/>
      <w:marRight w:val="0"/>
      <w:marTop w:val="0"/>
      <w:marBottom w:val="0"/>
      <w:divBdr>
        <w:top w:val="none" w:sz="0" w:space="0" w:color="auto"/>
        <w:left w:val="none" w:sz="0" w:space="0" w:color="auto"/>
        <w:bottom w:val="none" w:sz="0" w:space="0" w:color="auto"/>
        <w:right w:val="none" w:sz="0" w:space="0" w:color="auto"/>
      </w:divBdr>
    </w:div>
    <w:div w:id="1955018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5019CA-8621-4D36-93B0-DCB59A08C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629</Words>
  <Characters>3587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Caterina</dc:creator>
  <cp:lastModifiedBy>Maria Caterina</cp:lastModifiedBy>
  <cp:revision>2</cp:revision>
  <dcterms:created xsi:type="dcterms:W3CDTF">2015-06-16T11:07:00Z</dcterms:created>
  <dcterms:modified xsi:type="dcterms:W3CDTF">2015-06-16T11:07:00Z</dcterms:modified>
</cp:coreProperties>
</file>