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58" w:rsidRDefault="00674758" w:rsidP="00A5790E">
      <w:pPr>
        <w:spacing w:line="240" w:lineRule="auto"/>
        <w:jc w:val="center"/>
        <w:rPr>
          <w:b/>
        </w:rPr>
      </w:pPr>
      <w:r w:rsidRPr="00AB0417">
        <w:rPr>
          <w:b/>
        </w:rPr>
        <w:t>Training on Gender Equality Programming in Humanitarian Situations</w:t>
      </w:r>
    </w:p>
    <w:p w:rsidR="00674758" w:rsidRDefault="00900CED" w:rsidP="00A5790E">
      <w:pPr>
        <w:spacing w:line="240" w:lineRule="auto"/>
        <w:jc w:val="center"/>
        <w:rPr>
          <w:b/>
        </w:rPr>
      </w:pPr>
      <w:r>
        <w:rPr>
          <w:b/>
        </w:rPr>
        <w:t xml:space="preserve"> </w:t>
      </w:r>
      <w:r w:rsidR="00E17A5D">
        <w:rPr>
          <w:b/>
        </w:rPr>
        <w:t>April 7</w:t>
      </w:r>
      <w:r w:rsidR="00920499" w:rsidRPr="00920499">
        <w:rPr>
          <w:b/>
          <w:vertAlign w:val="superscript"/>
        </w:rPr>
        <w:t>t</w:t>
      </w:r>
      <w:r w:rsidR="00E17A5D">
        <w:rPr>
          <w:b/>
          <w:vertAlign w:val="superscript"/>
        </w:rPr>
        <w:t>h</w:t>
      </w:r>
      <w:r w:rsidR="00920499">
        <w:rPr>
          <w:b/>
        </w:rPr>
        <w:t xml:space="preserve"> to </w:t>
      </w:r>
      <w:r w:rsidR="00E17A5D">
        <w:rPr>
          <w:b/>
        </w:rPr>
        <w:t>9</w:t>
      </w:r>
      <w:r w:rsidR="00E17A5D" w:rsidRPr="00920499">
        <w:rPr>
          <w:b/>
          <w:vertAlign w:val="superscript"/>
        </w:rPr>
        <w:t>t</w:t>
      </w:r>
      <w:r w:rsidR="00E17A5D">
        <w:rPr>
          <w:b/>
          <w:vertAlign w:val="superscript"/>
        </w:rPr>
        <w:t>h</w:t>
      </w:r>
      <w:r w:rsidR="00674758">
        <w:rPr>
          <w:b/>
        </w:rPr>
        <w:t xml:space="preserve">, 2015 in </w:t>
      </w:r>
      <w:r w:rsidR="00920499">
        <w:rPr>
          <w:b/>
        </w:rPr>
        <w:t>Myitkyina</w:t>
      </w:r>
    </w:p>
    <w:p w:rsidR="00BF43D9" w:rsidRDefault="00892969" w:rsidP="00A5790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0"/>
          <w:szCs w:val="20"/>
        </w:rPr>
      </w:pPr>
      <w:r w:rsidRPr="00BF43D9">
        <w:rPr>
          <w:b/>
        </w:rPr>
        <w:t>Overall objective:</w:t>
      </w:r>
      <w:r w:rsidRPr="00674758">
        <w:rPr>
          <w:b/>
        </w:rPr>
        <w:t xml:space="preserve"> </w:t>
      </w:r>
      <w:r w:rsidR="00BF43D9">
        <w:t>To</w:t>
      </w:r>
      <w:r w:rsidR="007B16A2">
        <w:rPr>
          <w:rFonts w:ascii="ArialMT" w:hAnsi="ArialMT" w:cs="ArialMT"/>
          <w:sz w:val="20"/>
          <w:szCs w:val="20"/>
        </w:rPr>
        <w:t xml:space="preserve"> provide </w:t>
      </w:r>
      <w:r w:rsidR="00476AB4">
        <w:rPr>
          <w:rFonts w:ascii="ArialMT" w:hAnsi="ArialMT" w:cs="ArialMT"/>
          <w:sz w:val="20"/>
          <w:szCs w:val="20"/>
        </w:rPr>
        <w:t xml:space="preserve">guidance to cluster/sector Gender Focal Points </w:t>
      </w:r>
      <w:r w:rsidR="00BF43D9">
        <w:rPr>
          <w:rFonts w:ascii="ArialMT" w:hAnsi="ArialMT" w:cs="ArialMT"/>
          <w:sz w:val="20"/>
          <w:szCs w:val="20"/>
        </w:rPr>
        <w:t xml:space="preserve">operating in </w:t>
      </w:r>
      <w:proofErr w:type="spellStart"/>
      <w:r w:rsidR="00920499">
        <w:rPr>
          <w:rFonts w:ascii="ArialMT" w:hAnsi="ArialMT" w:cs="ArialMT"/>
          <w:sz w:val="20"/>
          <w:szCs w:val="20"/>
        </w:rPr>
        <w:t>Kachin</w:t>
      </w:r>
      <w:proofErr w:type="spellEnd"/>
      <w:r w:rsidR="00920499">
        <w:rPr>
          <w:rFonts w:ascii="ArialMT" w:hAnsi="ArialMT" w:cs="ArialMT"/>
          <w:sz w:val="20"/>
          <w:szCs w:val="20"/>
        </w:rPr>
        <w:t xml:space="preserve"> and Northern Shan</w:t>
      </w:r>
      <w:r w:rsidR="00BF43D9">
        <w:rPr>
          <w:rFonts w:ascii="ArialMT" w:hAnsi="ArialMT" w:cs="ArialMT"/>
          <w:sz w:val="20"/>
          <w:szCs w:val="20"/>
        </w:rPr>
        <w:t xml:space="preserve"> on how to plan, implement</w:t>
      </w:r>
      <w:r w:rsidR="00A01E3D">
        <w:rPr>
          <w:rFonts w:ascii="ArialMT" w:hAnsi="ArialMT" w:cs="ArialMT"/>
          <w:sz w:val="20"/>
          <w:szCs w:val="20"/>
        </w:rPr>
        <w:t>, monitor</w:t>
      </w:r>
      <w:r w:rsidR="00BF43D9">
        <w:rPr>
          <w:rFonts w:ascii="ArialMT" w:hAnsi="ArialMT" w:cs="ArialMT"/>
          <w:sz w:val="20"/>
          <w:szCs w:val="20"/>
        </w:rPr>
        <w:t xml:space="preserve"> and evaluate their programmes across clusters/sectors through </w:t>
      </w:r>
      <w:r w:rsidR="007B16A2">
        <w:rPr>
          <w:rFonts w:ascii="ArialMT" w:hAnsi="ArialMT" w:cs="ArialMT"/>
          <w:sz w:val="20"/>
          <w:szCs w:val="20"/>
        </w:rPr>
        <w:t xml:space="preserve">a ‘gender </w:t>
      </w:r>
      <w:proofErr w:type="gramStart"/>
      <w:r w:rsidR="007B16A2">
        <w:rPr>
          <w:rFonts w:ascii="ArialMT" w:hAnsi="ArialMT" w:cs="ArialMT"/>
          <w:sz w:val="20"/>
          <w:szCs w:val="20"/>
        </w:rPr>
        <w:t>lens’</w:t>
      </w:r>
      <w:proofErr w:type="gramEnd"/>
      <w:r w:rsidR="007B16A2">
        <w:rPr>
          <w:rFonts w:ascii="ArialMT" w:hAnsi="ArialMT" w:cs="ArialMT"/>
          <w:sz w:val="20"/>
          <w:szCs w:val="20"/>
        </w:rPr>
        <w:t xml:space="preserve"> </w:t>
      </w:r>
      <w:r w:rsidR="00BF43D9">
        <w:rPr>
          <w:rFonts w:ascii="ArialMT" w:hAnsi="ArialMT" w:cs="ArialMT"/>
          <w:sz w:val="20"/>
          <w:szCs w:val="20"/>
        </w:rPr>
        <w:t>with a focus on practical applications to their work.</w:t>
      </w:r>
    </w:p>
    <w:p w:rsidR="00BF43D9" w:rsidRPr="00BF43D9" w:rsidRDefault="00AB0417" w:rsidP="00A5790E">
      <w:pPr>
        <w:spacing w:line="240" w:lineRule="auto"/>
        <w:rPr>
          <w:b/>
        </w:rPr>
      </w:pPr>
      <w:r w:rsidRPr="00BF43D9">
        <w:rPr>
          <w:b/>
        </w:rPr>
        <w:t>Specific objectives</w:t>
      </w:r>
      <w:r w:rsidR="007B16A2" w:rsidRPr="00BF43D9">
        <w:rPr>
          <w:b/>
        </w:rPr>
        <w:t xml:space="preserve">: </w:t>
      </w:r>
    </w:p>
    <w:p w:rsidR="00BF43D9" w:rsidRPr="00892969" w:rsidRDefault="00BF43D9" w:rsidP="00A579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MT" w:hAnsi="ArialMT" w:cs="ArialMT"/>
          <w:sz w:val="20"/>
          <w:szCs w:val="20"/>
        </w:rPr>
      </w:pPr>
      <w:r w:rsidRPr="00892969">
        <w:rPr>
          <w:rFonts w:ascii="ArialMT" w:hAnsi="ArialMT" w:cs="ArialMT"/>
          <w:sz w:val="20"/>
          <w:szCs w:val="20"/>
        </w:rPr>
        <w:t xml:space="preserve">To develop participants’ </w:t>
      </w:r>
      <w:r w:rsidR="00F87235" w:rsidRPr="00892969">
        <w:rPr>
          <w:rFonts w:ascii="ArialMT" w:hAnsi="ArialMT" w:cs="ArialMT"/>
          <w:sz w:val="20"/>
          <w:szCs w:val="20"/>
        </w:rPr>
        <w:t xml:space="preserve">knowledge, </w:t>
      </w:r>
      <w:r w:rsidRPr="00892969">
        <w:rPr>
          <w:rFonts w:ascii="ArialMT" w:hAnsi="ArialMT" w:cs="ArialMT"/>
          <w:sz w:val="20"/>
          <w:szCs w:val="20"/>
        </w:rPr>
        <w:t>skills and competencies in addressing gender issues throughout the project cycle, from assessment, analysis, and planning through to implementation, monitoring, and evaluation.</w:t>
      </w:r>
    </w:p>
    <w:p w:rsidR="00674758" w:rsidRPr="00892969" w:rsidRDefault="00674758" w:rsidP="00A579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ArialMT" w:hAnsi="ArialMT" w:cs="ArialMT"/>
          <w:sz w:val="20"/>
          <w:szCs w:val="20"/>
        </w:rPr>
      </w:pPr>
      <w:r w:rsidRPr="00892969">
        <w:rPr>
          <w:rFonts w:ascii="ArialMT" w:hAnsi="ArialMT" w:cs="ArialMT"/>
          <w:sz w:val="20"/>
          <w:szCs w:val="20"/>
        </w:rPr>
        <w:t>To provide a platform for clusters/sectors to share challenges they face in addressing key components of gender equality programming and identify strategies to overcome these collectively.</w:t>
      </w:r>
    </w:p>
    <w:p w:rsidR="00BF43D9" w:rsidRPr="00AB0417" w:rsidRDefault="00AB0417" w:rsidP="00A5790E">
      <w:pPr>
        <w:spacing w:line="240" w:lineRule="auto"/>
        <w:rPr>
          <w:b/>
        </w:rPr>
      </w:pPr>
      <w:r>
        <w:rPr>
          <w:b/>
        </w:rPr>
        <w:t>Expected o</w:t>
      </w:r>
      <w:r w:rsidR="007B16A2" w:rsidRPr="00AB0417">
        <w:rPr>
          <w:b/>
        </w:rPr>
        <w:t>utcome</w:t>
      </w:r>
      <w:r w:rsidR="00892969">
        <w:rPr>
          <w:b/>
        </w:rPr>
        <w:t>s</w:t>
      </w:r>
      <w:r w:rsidR="007B16A2" w:rsidRPr="00AB0417">
        <w:rPr>
          <w:b/>
        </w:rPr>
        <w:t xml:space="preserve">: </w:t>
      </w:r>
    </w:p>
    <w:p w:rsidR="007B16A2" w:rsidRDefault="00BF43D9" w:rsidP="00A5790E">
      <w:pPr>
        <w:tabs>
          <w:tab w:val="left" w:pos="360"/>
        </w:tabs>
        <w:spacing w:line="240" w:lineRule="auto"/>
        <w:rPr>
          <w:rFonts w:ascii="Arial" w:hAnsi="Arial"/>
          <w:sz w:val="20"/>
          <w:szCs w:val="20"/>
        </w:rPr>
      </w:pPr>
      <w:r>
        <w:t xml:space="preserve">A </w:t>
      </w:r>
      <w:r w:rsidR="00476AB4">
        <w:t xml:space="preserve">network of Gender Focal Points representing each of the clusters/sectors working in </w:t>
      </w:r>
      <w:proofErr w:type="spellStart"/>
      <w:r w:rsidR="00920499">
        <w:rPr>
          <w:rFonts w:ascii="ArialMT" w:hAnsi="ArialMT" w:cs="ArialMT"/>
          <w:sz w:val="20"/>
          <w:szCs w:val="20"/>
        </w:rPr>
        <w:t>Kachin</w:t>
      </w:r>
      <w:proofErr w:type="spellEnd"/>
      <w:r w:rsidR="00920499">
        <w:rPr>
          <w:rFonts w:ascii="ArialMT" w:hAnsi="ArialMT" w:cs="ArialMT"/>
          <w:sz w:val="20"/>
          <w:szCs w:val="20"/>
        </w:rPr>
        <w:t xml:space="preserve"> and Northern Shan </w:t>
      </w:r>
      <w:r>
        <w:t>will be constituted.</w:t>
      </w:r>
      <w:r w:rsidR="00891CB1">
        <w:t xml:space="preserve"> With support from the Senior Inter-Agency Gender Advisor, t</w:t>
      </w:r>
      <w:r w:rsidR="00891CB1">
        <w:rPr>
          <w:rFonts w:ascii="Arial" w:hAnsi="Arial"/>
          <w:sz w:val="20"/>
          <w:szCs w:val="20"/>
        </w:rPr>
        <w:t xml:space="preserve">hey will be able to </w:t>
      </w:r>
      <w:r w:rsidR="00891CB1" w:rsidRPr="00922755">
        <w:rPr>
          <w:rFonts w:ascii="Arial" w:hAnsi="Arial"/>
          <w:sz w:val="20"/>
          <w:szCs w:val="20"/>
        </w:rPr>
        <w:t>provid</w:t>
      </w:r>
      <w:r w:rsidR="00891CB1">
        <w:rPr>
          <w:rFonts w:ascii="Arial" w:hAnsi="Arial"/>
          <w:sz w:val="20"/>
          <w:szCs w:val="20"/>
        </w:rPr>
        <w:t xml:space="preserve">e </w:t>
      </w:r>
      <w:r w:rsidR="00891CB1" w:rsidRPr="00922755">
        <w:rPr>
          <w:rFonts w:ascii="Arial" w:hAnsi="Arial"/>
          <w:sz w:val="20"/>
          <w:szCs w:val="20"/>
        </w:rPr>
        <w:t>gender ind</w:t>
      </w:r>
      <w:r w:rsidR="00891CB1">
        <w:rPr>
          <w:rFonts w:ascii="Arial" w:hAnsi="Arial"/>
          <w:sz w:val="20"/>
          <w:szCs w:val="20"/>
        </w:rPr>
        <w:t>uctions to new staff, initiate</w:t>
      </w:r>
      <w:r w:rsidR="00891CB1" w:rsidRPr="00922755">
        <w:rPr>
          <w:rFonts w:ascii="Arial" w:hAnsi="Arial"/>
          <w:sz w:val="20"/>
          <w:szCs w:val="20"/>
        </w:rPr>
        <w:t xml:space="preserve"> regular briefings on gender issues, review</w:t>
      </w:r>
      <w:r w:rsidR="00891CB1">
        <w:rPr>
          <w:rFonts w:ascii="Arial" w:hAnsi="Arial"/>
          <w:sz w:val="20"/>
          <w:szCs w:val="20"/>
        </w:rPr>
        <w:t xml:space="preserve"> cluster/sector </w:t>
      </w:r>
      <w:r w:rsidR="00891CB1" w:rsidRPr="00922755">
        <w:rPr>
          <w:rFonts w:ascii="Arial" w:hAnsi="Arial"/>
          <w:sz w:val="20"/>
          <w:szCs w:val="20"/>
        </w:rPr>
        <w:t>plans</w:t>
      </w:r>
      <w:r w:rsidR="00891CB1">
        <w:rPr>
          <w:rFonts w:ascii="Arial" w:hAnsi="Arial"/>
          <w:sz w:val="20"/>
          <w:szCs w:val="20"/>
        </w:rPr>
        <w:t xml:space="preserve"> and specific projects/programmes, conduct</w:t>
      </w:r>
      <w:r w:rsidR="00891CB1" w:rsidRPr="00922755">
        <w:rPr>
          <w:rFonts w:ascii="Arial" w:hAnsi="Arial"/>
          <w:sz w:val="20"/>
          <w:szCs w:val="20"/>
        </w:rPr>
        <w:t xml:space="preserve"> monitoring visits, </w:t>
      </w:r>
      <w:r w:rsidR="00891CB1">
        <w:rPr>
          <w:rFonts w:ascii="Arial" w:hAnsi="Arial"/>
          <w:sz w:val="20"/>
          <w:szCs w:val="20"/>
        </w:rPr>
        <w:t xml:space="preserve">and </w:t>
      </w:r>
      <w:r w:rsidR="00891CB1" w:rsidRPr="00922755">
        <w:rPr>
          <w:rFonts w:ascii="Arial" w:hAnsi="Arial"/>
          <w:sz w:val="20"/>
          <w:szCs w:val="20"/>
        </w:rPr>
        <w:t>provid</w:t>
      </w:r>
      <w:r w:rsidR="00891CB1">
        <w:rPr>
          <w:rFonts w:ascii="Arial" w:hAnsi="Arial"/>
          <w:sz w:val="20"/>
          <w:szCs w:val="20"/>
        </w:rPr>
        <w:t>e</w:t>
      </w:r>
      <w:r w:rsidR="00891CB1" w:rsidRPr="00922755">
        <w:rPr>
          <w:rFonts w:ascii="Arial" w:hAnsi="Arial"/>
          <w:sz w:val="20"/>
          <w:szCs w:val="20"/>
        </w:rPr>
        <w:t xml:space="preserve"> hands-on technical support to ensure gender issues are addressed</w:t>
      </w:r>
      <w:r w:rsidR="00891CB1">
        <w:rPr>
          <w:rFonts w:ascii="Arial" w:hAnsi="Arial"/>
          <w:sz w:val="20"/>
          <w:szCs w:val="20"/>
        </w:rPr>
        <w:t xml:space="preserve"> in the humanitarian response.</w:t>
      </w:r>
    </w:p>
    <w:p w:rsidR="00BF43D9" w:rsidRPr="00F87235" w:rsidRDefault="00BF43D9" w:rsidP="00A5790E">
      <w:pPr>
        <w:spacing w:line="240" w:lineRule="auto"/>
        <w:rPr>
          <w:b/>
        </w:rPr>
      </w:pPr>
      <w:r w:rsidRPr="00F87235">
        <w:rPr>
          <w:b/>
        </w:rPr>
        <w:t>Methodology:</w:t>
      </w:r>
    </w:p>
    <w:p w:rsidR="00BF43D9" w:rsidRDefault="00674758" w:rsidP="00A5790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0"/>
          <w:szCs w:val="20"/>
        </w:rPr>
      </w:pPr>
      <w:r w:rsidRPr="00674758">
        <w:rPr>
          <w:rFonts w:ascii="ArialMT" w:hAnsi="ArialMT" w:cs="ArialMT"/>
          <w:sz w:val="20"/>
          <w:szCs w:val="20"/>
          <w:u w:val="single"/>
        </w:rPr>
        <w:t>Day 1 and 2</w:t>
      </w:r>
      <w:r>
        <w:rPr>
          <w:rFonts w:ascii="ArialMT" w:hAnsi="ArialMT" w:cs="ArialMT"/>
          <w:sz w:val="20"/>
          <w:szCs w:val="20"/>
        </w:rPr>
        <w:t>: Training in Myanmar language using a c</w:t>
      </w:r>
      <w:r w:rsidR="007B16A2">
        <w:rPr>
          <w:rFonts w:ascii="ArialMT" w:hAnsi="ArialMT" w:cs="ArialMT"/>
          <w:sz w:val="20"/>
          <w:szCs w:val="20"/>
        </w:rPr>
        <w:t>ombination of traditional learning methods, such as presentations and</w:t>
      </w:r>
      <w:r w:rsidR="00BF43D9">
        <w:rPr>
          <w:rFonts w:ascii="ArialMT" w:hAnsi="ArialMT" w:cs="ArialMT"/>
          <w:sz w:val="20"/>
          <w:szCs w:val="20"/>
        </w:rPr>
        <w:t xml:space="preserve"> </w:t>
      </w:r>
      <w:r w:rsidR="007B16A2">
        <w:rPr>
          <w:rFonts w:ascii="ArialMT" w:hAnsi="ArialMT" w:cs="ArialMT"/>
          <w:sz w:val="20"/>
          <w:szCs w:val="20"/>
        </w:rPr>
        <w:t>discussions, along with more participatory and experi</w:t>
      </w:r>
      <w:r w:rsidR="00BF43D9">
        <w:rPr>
          <w:rFonts w:ascii="ArialMT" w:hAnsi="ArialMT" w:cs="ArialMT"/>
          <w:sz w:val="20"/>
          <w:szCs w:val="20"/>
        </w:rPr>
        <w:t>ential learning approaches, ex.</w:t>
      </w:r>
      <w:r w:rsidR="007B16A2">
        <w:rPr>
          <w:rFonts w:ascii="ArialMT" w:hAnsi="ArialMT" w:cs="ArialMT"/>
          <w:sz w:val="20"/>
          <w:szCs w:val="20"/>
        </w:rPr>
        <w:t xml:space="preserve"> case stud</w:t>
      </w:r>
      <w:r w:rsidR="00BF43D9">
        <w:rPr>
          <w:rFonts w:ascii="ArialMT" w:hAnsi="ArialMT" w:cs="ArialMT"/>
          <w:sz w:val="20"/>
          <w:szCs w:val="20"/>
        </w:rPr>
        <w:t xml:space="preserve">ies, </w:t>
      </w:r>
      <w:r w:rsidR="007B16A2">
        <w:rPr>
          <w:rFonts w:ascii="ArialMT" w:hAnsi="ArialMT" w:cs="ArialMT"/>
          <w:sz w:val="20"/>
          <w:szCs w:val="20"/>
        </w:rPr>
        <w:t>group work, role play</w:t>
      </w:r>
      <w:r w:rsidR="00BF43D9">
        <w:rPr>
          <w:rFonts w:ascii="ArialMT" w:hAnsi="ArialMT" w:cs="ArialMT"/>
          <w:sz w:val="20"/>
          <w:szCs w:val="20"/>
        </w:rPr>
        <w:t>s</w:t>
      </w:r>
      <w:r w:rsidR="007B16A2">
        <w:rPr>
          <w:rFonts w:ascii="ArialMT" w:hAnsi="ArialMT" w:cs="ArialMT"/>
          <w:sz w:val="20"/>
          <w:szCs w:val="20"/>
        </w:rPr>
        <w:t>, and reflections on personal experience. Practical tools and frameworks</w:t>
      </w:r>
      <w:r w:rsidR="00F87235">
        <w:rPr>
          <w:rFonts w:ascii="ArialMT" w:hAnsi="ArialMT" w:cs="ArialMT"/>
          <w:sz w:val="20"/>
          <w:szCs w:val="20"/>
        </w:rPr>
        <w:t xml:space="preserve"> will be</w:t>
      </w:r>
      <w:r w:rsidR="007B16A2">
        <w:rPr>
          <w:rFonts w:ascii="ArialMT" w:hAnsi="ArialMT" w:cs="ArialMT"/>
          <w:sz w:val="20"/>
          <w:szCs w:val="20"/>
        </w:rPr>
        <w:t xml:space="preserve"> provided throughout.</w:t>
      </w:r>
    </w:p>
    <w:p w:rsidR="00674758" w:rsidRDefault="00674758" w:rsidP="00A5790E">
      <w:pPr>
        <w:autoSpaceDE w:val="0"/>
        <w:autoSpaceDN w:val="0"/>
        <w:adjustRightInd w:val="0"/>
        <w:spacing w:line="240" w:lineRule="auto"/>
        <w:rPr>
          <w:rFonts w:ascii="ArialMT" w:hAnsi="ArialMT" w:cs="ArialMT"/>
          <w:sz w:val="20"/>
          <w:szCs w:val="20"/>
        </w:rPr>
      </w:pPr>
      <w:r w:rsidRPr="00674758">
        <w:rPr>
          <w:rFonts w:ascii="ArialMT" w:hAnsi="ArialMT" w:cs="ArialMT"/>
          <w:sz w:val="20"/>
          <w:szCs w:val="20"/>
          <w:u w:val="single"/>
        </w:rPr>
        <w:t>Day 3</w:t>
      </w:r>
      <w:r>
        <w:rPr>
          <w:rFonts w:ascii="ArialMT" w:hAnsi="ArialMT" w:cs="ArialMT"/>
          <w:sz w:val="20"/>
          <w:szCs w:val="20"/>
        </w:rPr>
        <w:t>: Interactive workshop</w:t>
      </w:r>
      <w:r w:rsidR="00892969">
        <w:rPr>
          <w:rFonts w:ascii="ArialMT" w:hAnsi="ArialMT" w:cs="ArialMT"/>
          <w:sz w:val="20"/>
          <w:szCs w:val="20"/>
        </w:rPr>
        <w:t xml:space="preserve"> in Myanmar and English languages</w:t>
      </w:r>
      <w:r>
        <w:rPr>
          <w:rFonts w:ascii="ArialMT" w:hAnsi="ArialMT" w:cs="ArialMT"/>
          <w:sz w:val="20"/>
          <w:szCs w:val="20"/>
        </w:rPr>
        <w:t xml:space="preserve"> focusing on specific themes with group work to explore issues, identify common strategic approaches and define specific actions for </w:t>
      </w:r>
      <w:proofErr w:type="spellStart"/>
      <w:r w:rsidR="00920499">
        <w:rPr>
          <w:rFonts w:ascii="ArialMT" w:hAnsi="ArialMT" w:cs="ArialMT"/>
          <w:sz w:val="20"/>
          <w:szCs w:val="20"/>
        </w:rPr>
        <w:t>Kachin</w:t>
      </w:r>
      <w:proofErr w:type="spellEnd"/>
      <w:r w:rsidR="00920499">
        <w:rPr>
          <w:rFonts w:ascii="ArialMT" w:hAnsi="ArialMT" w:cs="ArialMT"/>
          <w:sz w:val="20"/>
          <w:szCs w:val="20"/>
        </w:rPr>
        <w:t xml:space="preserve"> and Northern Shan </w:t>
      </w:r>
      <w:r>
        <w:rPr>
          <w:rFonts w:ascii="ArialMT" w:hAnsi="ArialMT" w:cs="ArialMT"/>
          <w:sz w:val="20"/>
          <w:szCs w:val="20"/>
        </w:rPr>
        <w:t>humanitarian actors to improve programming.</w:t>
      </w:r>
    </w:p>
    <w:p w:rsidR="00B20F6A" w:rsidRPr="002F105D" w:rsidRDefault="00F87235" w:rsidP="00A5790E">
      <w:pPr>
        <w:spacing w:line="240" w:lineRule="auto"/>
        <w:rPr>
          <w:b/>
        </w:rPr>
      </w:pPr>
      <w:r w:rsidRPr="002F105D">
        <w:rPr>
          <w:b/>
        </w:rPr>
        <w:t>P</w:t>
      </w:r>
      <w:r w:rsidR="007B16A2" w:rsidRPr="002F105D">
        <w:rPr>
          <w:b/>
        </w:rPr>
        <w:t>articipants:</w:t>
      </w:r>
    </w:p>
    <w:p w:rsidR="00AB0417" w:rsidRPr="00F87235" w:rsidRDefault="00891CB1" w:rsidP="00A5790E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Cluster/sector Gender Focal Points and other h</w:t>
      </w:r>
      <w:r w:rsidR="00AB0417" w:rsidRPr="00F87235">
        <w:rPr>
          <w:rFonts w:ascii="ArialMT" w:hAnsi="ArialMT" w:cs="ArialMT"/>
          <w:sz w:val="20"/>
          <w:szCs w:val="20"/>
        </w:rPr>
        <w:t>umanitarian actors, male or female, UN, INGO or NGO staff members, who are:</w:t>
      </w:r>
    </w:p>
    <w:p w:rsidR="00AB0417" w:rsidRPr="00F87235" w:rsidRDefault="00AB0417" w:rsidP="00A5790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F87235">
        <w:rPr>
          <w:rFonts w:ascii="ArialMT" w:hAnsi="ArialMT" w:cs="ArialMT"/>
          <w:sz w:val="20"/>
          <w:szCs w:val="20"/>
        </w:rPr>
        <w:t>Committed to learning about and contributing to addressing gender differences as part of his/her work in the Myanmar humanitarian response; and</w:t>
      </w:r>
    </w:p>
    <w:p w:rsidR="00AB0417" w:rsidRPr="00F87235" w:rsidRDefault="00AB0417" w:rsidP="00A5790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ArialMT" w:hAnsi="ArialMT" w:cs="ArialMT"/>
          <w:sz w:val="20"/>
          <w:szCs w:val="20"/>
        </w:rPr>
      </w:pPr>
      <w:r w:rsidRPr="00F87235">
        <w:rPr>
          <w:rFonts w:ascii="ArialMT" w:hAnsi="ArialMT" w:cs="ArialMT"/>
          <w:sz w:val="20"/>
          <w:szCs w:val="20"/>
        </w:rPr>
        <w:t>Willing to take responsibility for training others and sharing information, materials and generating discussions within his/her cluster/sector and/or agency/organization on gender equality issues in the Myanmar humanitarian response.</w:t>
      </w:r>
    </w:p>
    <w:p w:rsidR="007B16A2" w:rsidRPr="00F87235" w:rsidRDefault="007B16A2" w:rsidP="00A5790E">
      <w:pPr>
        <w:spacing w:line="240" w:lineRule="auto"/>
        <w:rPr>
          <w:b/>
        </w:rPr>
      </w:pPr>
      <w:r w:rsidRPr="00F87235">
        <w:rPr>
          <w:b/>
        </w:rPr>
        <w:t>Facilitator</w:t>
      </w:r>
      <w:r w:rsidR="00476AB4">
        <w:rPr>
          <w:b/>
        </w:rPr>
        <w:t>s</w:t>
      </w:r>
      <w:r w:rsidR="00AB0417" w:rsidRPr="00F87235">
        <w:rPr>
          <w:b/>
        </w:rPr>
        <w:t>:</w:t>
      </w:r>
    </w:p>
    <w:p w:rsidR="00920499" w:rsidRDefault="00920499" w:rsidP="00A5790E">
      <w:pPr>
        <w:spacing w:after="0" w:line="240" w:lineRule="auto"/>
        <w:rPr>
          <w:rFonts w:ascii="Arial" w:hAnsi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Lat</w:t>
      </w:r>
      <w:proofErr w:type="spellEnd"/>
      <w:r>
        <w:rPr>
          <w:rFonts w:ascii="Arial" w:hAnsi="Arial"/>
          <w:sz w:val="20"/>
          <w:szCs w:val="20"/>
        </w:rPr>
        <w:t xml:space="preserve"> Seng </w:t>
      </w:r>
      <w:proofErr w:type="spellStart"/>
      <w:r>
        <w:rPr>
          <w:rFonts w:ascii="Arial" w:hAnsi="Arial"/>
          <w:sz w:val="20"/>
          <w:szCs w:val="20"/>
        </w:rPr>
        <w:t>Gon</w:t>
      </w:r>
      <w:proofErr w:type="spellEnd"/>
      <w:r>
        <w:rPr>
          <w:rFonts w:ascii="Arial" w:hAnsi="Arial"/>
          <w:sz w:val="20"/>
          <w:szCs w:val="20"/>
        </w:rPr>
        <w:t>, Gender Support Officer, Oxfam</w:t>
      </w:r>
    </w:p>
    <w:p w:rsidR="00476AB4" w:rsidRDefault="00920499" w:rsidP="00A5790E">
      <w:pPr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Kyaw</w:t>
      </w:r>
      <w:proofErr w:type="spellEnd"/>
      <w:r>
        <w:rPr>
          <w:rFonts w:ascii="Arial" w:hAnsi="Arial"/>
          <w:sz w:val="20"/>
          <w:szCs w:val="20"/>
        </w:rPr>
        <w:t xml:space="preserve"> </w:t>
      </w:r>
      <w:proofErr w:type="spellStart"/>
      <w:r>
        <w:rPr>
          <w:rFonts w:ascii="Arial" w:hAnsi="Arial"/>
          <w:sz w:val="20"/>
          <w:szCs w:val="20"/>
        </w:rPr>
        <w:t>Naing</w:t>
      </w:r>
      <w:proofErr w:type="spellEnd"/>
      <w:r>
        <w:rPr>
          <w:rFonts w:ascii="Arial" w:hAnsi="Arial"/>
          <w:sz w:val="20"/>
          <w:szCs w:val="20"/>
        </w:rPr>
        <w:t xml:space="preserve"> Win</w:t>
      </w:r>
      <w:r w:rsidR="00476AB4">
        <w:rPr>
          <w:rFonts w:ascii="ArialMT" w:hAnsi="ArialMT" w:cs="ArialMT"/>
          <w:sz w:val="20"/>
          <w:szCs w:val="20"/>
        </w:rPr>
        <w:t xml:space="preserve">, Field </w:t>
      </w:r>
      <w:r w:rsidR="00891CB1">
        <w:rPr>
          <w:rFonts w:ascii="ArialMT" w:hAnsi="ArialMT" w:cs="ArialMT"/>
          <w:sz w:val="20"/>
          <w:szCs w:val="20"/>
        </w:rPr>
        <w:t xml:space="preserve">Coordination </w:t>
      </w:r>
      <w:r w:rsidR="00476AB4">
        <w:rPr>
          <w:rFonts w:ascii="ArialMT" w:hAnsi="ArialMT" w:cs="ArialMT"/>
          <w:sz w:val="20"/>
          <w:szCs w:val="20"/>
        </w:rPr>
        <w:t>Officer, OCHA</w:t>
      </w:r>
    </w:p>
    <w:p w:rsidR="00D75646" w:rsidRDefault="00D75646" w:rsidP="00A5790E">
      <w:pPr>
        <w:spacing w:after="0" w:line="240" w:lineRule="auto"/>
        <w:rPr>
          <w:rFonts w:ascii="ArialMT" w:hAnsi="ArialMT" w:cs="ArialMT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Zaw</w:t>
      </w:r>
      <w:proofErr w:type="spellEnd"/>
      <w:r>
        <w:rPr>
          <w:rFonts w:ascii="Arial" w:hAnsi="Arial"/>
          <w:sz w:val="20"/>
          <w:szCs w:val="20"/>
        </w:rPr>
        <w:t xml:space="preserve"> Min </w:t>
      </w:r>
      <w:proofErr w:type="spellStart"/>
      <w:r>
        <w:rPr>
          <w:rFonts w:ascii="Arial" w:hAnsi="Arial"/>
          <w:sz w:val="20"/>
          <w:szCs w:val="20"/>
        </w:rPr>
        <w:t>Htet</w:t>
      </w:r>
      <w:proofErr w:type="spellEnd"/>
      <w:r>
        <w:rPr>
          <w:rFonts w:ascii="ArialMT" w:hAnsi="ArialMT" w:cs="ArialMT"/>
          <w:sz w:val="20"/>
          <w:szCs w:val="20"/>
        </w:rPr>
        <w:t>, Field Coordination Officer, OCHA</w:t>
      </w:r>
    </w:p>
    <w:p w:rsidR="007B16A2" w:rsidRDefault="00260F14" w:rsidP="00A5790E">
      <w:pPr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Maria </w:t>
      </w:r>
      <w:proofErr w:type="spellStart"/>
      <w:r>
        <w:rPr>
          <w:rFonts w:ascii="ArialMT" w:hAnsi="ArialMT" w:cs="ArialMT"/>
          <w:sz w:val="20"/>
          <w:szCs w:val="20"/>
        </w:rPr>
        <w:t>Caterina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proofErr w:type="spellStart"/>
      <w:r>
        <w:rPr>
          <w:rFonts w:ascii="ArialMT" w:hAnsi="ArialMT" w:cs="ArialMT"/>
          <w:sz w:val="20"/>
          <w:szCs w:val="20"/>
        </w:rPr>
        <w:t>Ciampi</w:t>
      </w:r>
      <w:proofErr w:type="spellEnd"/>
      <w:r>
        <w:rPr>
          <w:rFonts w:ascii="ArialMT" w:hAnsi="ArialMT" w:cs="ArialMT"/>
          <w:sz w:val="20"/>
          <w:szCs w:val="20"/>
        </w:rPr>
        <w:t>, Senior Inter-Agency Gender Advisor for Myanmar’s humanitarian response</w:t>
      </w:r>
    </w:p>
    <w:p w:rsidR="00E13F7C" w:rsidRDefault="00F87235" w:rsidP="00A5790E">
      <w:pPr>
        <w:spacing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br w:type="page"/>
      </w:r>
    </w:p>
    <w:p w:rsidR="007B16A2" w:rsidRPr="00F87235" w:rsidRDefault="00F87235" w:rsidP="00A5790E">
      <w:pPr>
        <w:autoSpaceDE w:val="0"/>
        <w:autoSpaceDN w:val="0"/>
        <w:adjustRightInd w:val="0"/>
        <w:spacing w:line="240" w:lineRule="auto"/>
        <w:jc w:val="center"/>
        <w:rPr>
          <w:rFonts w:ascii="ArialMT" w:hAnsi="ArialMT" w:cs="ArialMT"/>
          <w:b/>
          <w:sz w:val="20"/>
          <w:szCs w:val="20"/>
        </w:rPr>
      </w:pPr>
      <w:r>
        <w:rPr>
          <w:rFonts w:ascii="ArialMT" w:hAnsi="ArialMT" w:cs="ArialMT"/>
          <w:b/>
          <w:sz w:val="20"/>
          <w:szCs w:val="20"/>
        </w:rPr>
        <w:lastRenderedPageBreak/>
        <w:t>PROPOSED AGENDA</w:t>
      </w:r>
    </w:p>
    <w:p w:rsidR="00DE7708" w:rsidRPr="00A5790E" w:rsidRDefault="00E13F7C" w:rsidP="00A5790E">
      <w:pPr>
        <w:spacing w:line="240" w:lineRule="auto"/>
        <w:rPr>
          <w:b/>
          <w:u w:val="single"/>
        </w:rPr>
      </w:pPr>
      <w:r w:rsidRPr="00A5790E">
        <w:rPr>
          <w:b/>
          <w:u w:val="single"/>
        </w:rPr>
        <w:t>DAY ONE</w:t>
      </w:r>
    </w:p>
    <w:p w:rsidR="00DE7708" w:rsidRPr="00DE7708" w:rsidRDefault="00B20F6A" w:rsidP="00A5790E">
      <w:pPr>
        <w:spacing w:line="240" w:lineRule="auto"/>
        <w:rPr>
          <w:b/>
        </w:rPr>
      </w:pPr>
      <w:r>
        <w:rPr>
          <w:b/>
        </w:rPr>
        <w:t>Session</w:t>
      </w:r>
      <w:r w:rsidRPr="00DE7708">
        <w:rPr>
          <w:b/>
        </w:rPr>
        <w:t xml:space="preserve"> </w:t>
      </w:r>
      <w:r w:rsidR="00DE7708" w:rsidRPr="00DE7708">
        <w:rPr>
          <w:b/>
        </w:rPr>
        <w:t>1: Why gender matters in emergencies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Definitions of key terms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Gender from a human rights perspective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The IASC’s Gender Equality Programming framework</w:t>
      </w:r>
    </w:p>
    <w:p w:rsidR="00DE7708" w:rsidRPr="00DE7708" w:rsidRDefault="00B20F6A" w:rsidP="00A5790E">
      <w:pPr>
        <w:spacing w:line="240" w:lineRule="auto"/>
        <w:rPr>
          <w:b/>
        </w:rPr>
      </w:pPr>
      <w:r>
        <w:rPr>
          <w:b/>
        </w:rPr>
        <w:t>Session</w:t>
      </w:r>
      <w:r w:rsidRPr="00DE7708">
        <w:rPr>
          <w:b/>
        </w:rPr>
        <w:t xml:space="preserve"> </w:t>
      </w:r>
      <w:r w:rsidR="00DE7708" w:rsidRPr="00DE7708">
        <w:rPr>
          <w:b/>
        </w:rPr>
        <w:t>2: SADD and gender analysis</w:t>
      </w:r>
      <w:r w:rsidR="00DE7708">
        <w:rPr>
          <w:b/>
        </w:rPr>
        <w:t xml:space="preserve"> throughout the </w:t>
      </w:r>
      <w:r w:rsidR="00F87235">
        <w:rPr>
          <w:b/>
        </w:rPr>
        <w:t>programme</w:t>
      </w:r>
      <w:r w:rsidR="00A5790E">
        <w:rPr>
          <w:b/>
        </w:rPr>
        <w:t xml:space="preserve"> cycle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What is SADD and why do we need it?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How to collect, analyze and use SADD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Gender analysis – what is it, and how do we do it</w:t>
      </w:r>
    </w:p>
    <w:p w:rsidR="00E13F7C" w:rsidRPr="00A5790E" w:rsidRDefault="00E13F7C" w:rsidP="00A5790E">
      <w:pPr>
        <w:spacing w:line="240" w:lineRule="auto"/>
        <w:rPr>
          <w:b/>
          <w:u w:val="single"/>
        </w:rPr>
      </w:pPr>
      <w:bookmarkStart w:id="0" w:name="_GoBack"/>
      <w:r w:rsidRPr="00A5790E">
        <w:rPr>
          <w:b/>
          <w:u w:val="single"/>
        </w:rPr>
        <w:t>DAY TWO</w:t>
      </w:r>
    </w:p>
    <w:bookmarkEnd w:id="0"/>
    <w:p w:rsidR="00DE7708" w:rsidRPr="00DE7708" w:rsidRDefault="00B20F6A" w:rsidP="00A5790E">
      <w:pPr>
        <w:spacing w:line="240" w:lineRule="auto"/>
        <w:rPr>
          <w:b/>
        </w:rPr>
      </w:pPr>
      <w:r>
        <w:rPr>
          <w:b/>
        </w:rPr>
        <w:t>Session</w:t>
      </w:r>
      <w:r w:rsidRPr="00DE7708">
        <w:rPr>
          <w:b/>
        </w:rPr>
        <w:t xml:space="preserve"> </w:t>
      </w:r>
      <w:r w:rsidR="00DE7708" w:rsidRPr="00DE7708">
        <w:rPr>
          <w:b/>
        </w:rPr>
        <w:t xml:space="preserve">3: Gender-sensitive approaches </w:t>
      </w:r>
      <w:r w:rsidR="00F87235" w:rsidRPr="00DE7708">
        <w:rPr>
          <w:b/>
        </w:rPr>
        <w:t>through</w:t>
      </w:r>
      <w:r w:rsidR="00F87235">
        <w:rPr>
          <w:b/>
        </w:rPr>
        <w:t>out</w:t>
      </w:r>
      <w:r w:rsidR="00A5790E">
        <w:rPr>
          <w:b/>
        </w:rPr>
        <w:t xml:space="preserve"> the programme cycle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How to conduct g</w:t>
      </w:r>
      <w:r w:rsidR="00F87235">
        <w:t>e</w:t>
      </w:r>
      <w:r>
        <w:t>nder-</w:t>
      </w:r>
      <w:r w:rsidR="00F87235">
        <w:t>sensitive</w:t>
      </w:r>
      <w:r>
        <w:t xml:space="preserve"> sectoral and multi-sectoral  assessments (surveys)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>How to develop gender-</w:t>
      </w:r>
      <w:r w:rsidR="00F87235">
        <w:t>sensitive</w:t>
      </w:r>
      <w:r>
        <w:t xml:space="preserve"> project</w:t>
      </w:r>
      <w:r w:rsidR="00E13F7C">
        <w:t xml:space="preserve"> proposals </w:t>
      </w:r>
      <w:r>
        <w:t>(guidance notes, gender marker)</w:t>
      </w:r>
    </w:p>
    <w:p w:rsidR="00DE7708" w:rsidRDefault="00DE7708" w:rsidP="00A5790E">
      <w:pPr>
        <w:pStyle w:val="ListParagraph"/>
        <w:numPr>
          <w:ilvl w:val="0"/>
          <w:numId w:val="1"/>
        </w:numPr>
        <w:spacing w:line="240" w:lineRule="auto"/>
      </w:pPr>
      <w:r>
        <w:t xml:space="preserve">How to </w:t>
      </w:r>
      <w:r w:rsidR="00F87235">
        <w:t>implement</w:t>
      </w:r>
      <w:r>
        <w:t xml:space="preserve"> gender-</w:t>
      </w:r>
      <w:r w:rsidR="00F87235">
        <w:t>sensitive</w:t>
      </w:r>
      <w:r>
        <w:t xml:space="preserve"> programmes (checklists)</w:t>
      </w:r>
    </w:p>
    <w:p w:rsidR="00DE7708" w:rsidRDefault="00E13F7C" w:rsidP="00A5790E">
      <w:pPr>
        <w:pStyle w:val="ListParagraph"/>
        <w:numPr>
          <w:ilvl w:val="0"/>
          <w:numId w:val="1"/>
        </w:numPr>
        <w:spacing w:line="240" w:lineRule="auto"/>
      </w:pPr>
      <w:r>
        <w:t xml:space="preserve">How to </w:t>
      </w:r>
      <w:r w:rsidR="00DE7708">
        <w:t xml:space="preserve">monitor, </w:t>
      </w:r>
      <w:r>
        <w:t xml:space="preserve">audits and evaluate </w:t>
      </w:r>
      <w:r w:rsidR="00F87235">
        <w:t>projects</w:t>
      </w:r>
      <w:r>
        <w:t xml:space="preserve"> or programmes on gender</w:t>
      </w:r>
      <w:r w:rsidR="00DE7708">
        <w:t xml:space="preserve"> (WASH and CCCM minimum commitments to GEP)</w:t>
      </w:r>
    </w:p>
    <w:p w:rsidR="002E6125" w:rsidRDefault="002E6125" w:rsidP="00A5790E">
      <w:pPr>
        <w:spacing w:line="240" w:lineRule="auto"/>
        <w:rPr>
          <w:b/>
        </w:rPr>
      </w:pPr>
      <w:r w:rsidRPr="002E6125">
        <w:rPr>
          <w:b/>
        </w:rPr>
        <w:t xml:space="preserve">Session </w:t>
      </w:r>
      <w:r w:rsidR="00674758">
        <w:rPr>
          <w:b/>
        </w:rPr>
        <w:t>4</w:t>
      </w:r>
      <w:r w:rsidRPr="002E6125">
        <w:rPr>
          <w:b/>
        </w:rPr>
        <w:t>: Addressing Gender-based violence (GBV)</w:t>
      </w:r>
    </w:p>
    <w:p w:rsidR="00674758" w:rsidRPr="00674758" w:rsidRDefault="00892969" w:rsidP="00A5790E">
      <w:pPr>
        <w:pStyle w:val="ListParagraph"/>
        <w:numPr>
          <w:ilvl w:val="0"/>
          <w:numId w:val="1"/>
        </w:numPr>
        <w:spacing w:line="240" w:lineRule="auto"/>
      </w:pPr>
      <w:r>
        <w:t>Definition of GBV</w:t>
      </w:r>
    </w:p>
    <w:p w:rsidR="00674758" w:rsidRPr="00674758" w:rsidRDefault="00674758" w:rsidP="00A5790E">
      <w:pPr>
        <w:pStyle w:val="ListParagraph"/>
        <w:numPr>
          <w:ilvl w:val="0"/>
          <w:numId w:val="1"/>
        </w:numPr>
        <w:spacing w:line="240" w:lineRule="auto"/>
      </w:pPr>
      <w:r w:rsidRPr="00674758">
        <w:t>Case studies</w:t>
      </w:r>
      <w:r w:rsidR="00892969">
        <w:t xml:space="preserve"> on factors contributing to GBV and consequences</w:t>
      </w:r>
    </w:p>
    <w:p w:rsidR="00674758" w:rsidRPr="00674758" w:rsidRDefault="00892969" w:rsidP="00A5790E">
      <w:pPr>
        <w:pStyle w:val="ListParagraph"/>
        <w:numPr>
          <w:ilvl w:val="0"/>
          <w:numId w:val="1"/>
        </w:numPr>
        <w:spacing w:line="240" w:lineRule="auto"/>
      </w:pPr>
      <w:r>
        <w:t>Guiding principles, survivor-</w:t>
      </w:r>
      <w:proofErr w:type="spellStart"/>
      <w:r>
        <w:t>centred</w:t>
      </w:r>
      <w:proofErr w:type="spellEnd"/>
      <w:r>
        <w:t xml:space="preserve"> approach and multi-sectoral model for GBV response</w:t>
      </w:r>
    </w:p>
    <w:p w:rsidR="00E13F7C" w:rsidRPr="00A5790E" w:rsidRDefault="00E13F7C" w:rsidP="00A5790E">
      <w:pPr>
        <w:spacing w:line="240" w:lineRule="auto"/>
        <w:rPr>
          <w:b/>
          <w:u w:val="single"/>
        </w:rPr>
      </w:pPr>
      <w:r w:rsidRPr="00A5790E">
        <w:rPr>
          <w:b/>
          <w:u w:val="single"/>
        </w:rPr>
        <w:t>DAY THREE</w:t>
      </w:r>
    </w:p>
    <w:p w:rsidR="00D75646" w:rsidRPr="00674758" w:rsidRDefault="00D75646" w:rsidP="00A5790E">
      <w:pPr>
        <w:spacing w:line="240" w:lineRule="auto"/>
        <w:rPr>
          <w:b/>
        </w:rPr>
      </w:pPr>
      <w:r w:rsidRPr="00674758">
        <w:rPr>
          <w:b/>
        </w:rPr>
        <w:t xml:space="preserve">Session </w:t>
      </w:r>
      <w:r>
        <w:rPr>
          <w:b/>
        </w:rPr>
        <w:t>5</w:t>
      </w:r>
      <w:r w:rsidRPr="00674758">
        <w:rPr>
          <w:b/>
        </w:rPr>
        <w:t>: Preventing sexual exploitation and abuse (PSEA)</w:t>
      </w:r>
    </w:p>
    <w:p w:rsidR="00DE7708" w:rsidRDefault="00B20F6A" w:rsidP="00A5790E">
      <w:pPr>
        <w:spacing w:line="240" w:lineRule="auto"/>
        <w:rPr>
          <w:b/>
        </w:rPr>
      </w:pPr>
      <w:r>
        <w:rPr>
          <w:b/>
        </w:rPr>
        <w:t>Session</w:t>
      </w:r>
      <w:r w:rsidR="00BF43D9" w:rsidRPr="00DE7708">
        <w:rPr>
          <w:b/>
        </w:rPr>
        <w:t xml:space="preserve"> </w:t>
      </w:r>
      <w:r w:rsidR="00D75646">
        <w:rPr>
          <w:b/>
        </w:rPr>
        <w:t>6</w:t>
      </w:r>
      <w:r w:rsidR="00DE7708" w:rsidRPr="00E13F7C">
        <w:rPr>
          <w:b/>
        </w:rPr>
        <w:t>:</w:t>
      </w:r>
      <w:r w:rsidR="00E13F7C" w:rsidRPr="00E13F7C">
        <w:rPr>
          <w:b/>
        </w:rPr>
        <w:t xml:space="preserve"> </w:t>
      </w:r>
      <w:r w:rsidR="00DE7708" w:rsidRPr="00E13F7C">
        <w:rPr>
          <w:b/>
        </w:rPr>
        <w:t>IDP women’s participation/influence in d</w:t>
      </w:r>
      <w:r w:rsidR="00674758">
        <w:rPr>
          <w:b/>
        </w:rPr>
        <w:t>ecision-making in camp settings</w:t>
      </w:r>
    </w:p>
    <w:p w:rsidR="002E6125" w:rsidRPr="00E13F7C" w:rsidRDefault="002E6125" w:rsidP="00A5790E">
      <w:pPr>
        <w:spacing w:line="240" w:lineRule="auto"/>
        <w:rPr>
          <w:b/>
        </w:rPr>
      </w:pPr>
      <w:r>
        <w:rPr>
          <w:b/>
        </w:rPr>
        <w:t>Session</w:t>
      </w:r>
      <w:r w:rsidRPr="00DE7708">
        <w:rPr>
          <w:b/>
        </w:rPr>
        <w:t xml:space="preserve"> </w:t>
      </w:r>
      <w:r w:rsidR="00674758">
        <w:rPr>
          <w:b/>
        </w:rPr>
        <w:t>7</w:t>
      </w:r>
      <w:r w:rsidRPr="00E13F7C">
        <w:rPr>
          <w:b/>
        </w:rPr>
        <w:t xml:space="preserve">: </w:t>
      </w:r>
      <w:r>
        <w:rPr>
          <w:b/>
        </w:rPr>
        <w:t>Promoting gender equality through i</w:t>
      </w:r>
      <w:r w:rsidRPr="00E13F7C">
        <w:rPr>
          <w:b/>
        </w:rPr>
        <w:t>nternal practices</w:t>
      </w:r>
    </w:p>
    <w:p w:rsidR="002E6125" w:rsidRDefault="002E6125" w:rsidP="00A5790E">
      <w:pPr>
        <w:pStyle w:val="ListParagraph"/>
        <w:numPr>
          <w:ilvl w:val="0"/>
          <w:numId w:val="1"/>
        </w:numPr>
        <w:spacing w:line="240" w:lineRule="auto"/>
      </w:pPr>
      <w:r>
        <w:t>Recruiting and maintaining gender balanced teams</w:t>
      </w:r>
    </w:p>
    <w:p w:rsidR="002E6125" w:rsidRDefault="002E6125" w:rsidP="00A5790E">
      <w:pPr>
        <w:pStyle w:val="ListParagraph"/>
        <w:numPr>
          <w:ilvl w:val="0"/>
          <w:numId w:val="1"/>
        </w:numPr>
        <w:spacing w:line="240" w:lineRule="auto"/>
      </w:pPr>
      <w:r>
        <w:t>Incorporating an understanding of gender in hiring practices</w:t>
      </w:r>
    </w:p>
    <w:p w:rsidR="002E6125" w:rsidRDefault="002E6125" w:rsidP="00A5790E">
      <w:pPr>
        <w:pStyle w:val="ListParagraph"/>
        <w:numPr>
          <w:ilvl w:val="0"/>
          <w:numId w:val="1"/>
        </w:numPr>
        <w:spacing w:line="240" w:lineRule="auto"/>
      </w:pPr>
      <w:r>
        <w:t>Valuing and rewarding staff’s contributions to GEP</w:t>
      </w:r>
    </w:p>
    <w:p w:rsidR="00674758" w:rsidRPr="00D75646" w:rsidRDefault="00D75646" w:rsidP="00A5790E">
      <w:pPr>
        <w:spacing w:line="240" w:lineRule="auto"/>
        <w:rPr>
          <w:b/>
        </w:rPr>
      </w:pPr>
      <w:r w:rsidRPr="00D75646">
        <w:rPr>
          <w:b/>
        </w:rPr>
        <w:t xml:space="preserve">Session 8: </w:t>
      </w:r>
      <w:r w:rsidR="00674758" w:rsidRPr="00D75646">
        <w:rPr>
          <w:b/>
        </w:rPr>
        <w:t>Action planning on gender equality programming</w:t>
      </w:r>
    </w:p>
    <w:sectPr w:rsidR="00674758" w:rsidRPr="00D75646" w:rsidSect="007B16A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ont20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33E1"/>
    <w:multiLevelType w:val="hybridMultilevel"/>
    <w:tmpl w:val="E08CD7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D2522"/>
    <w:multiLevelType w:val="hybridMultilevel"/>
    <w:tmpl w:val="8828C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C241F"/>
    <w:multiLevelType w:val="multilevel"/>
    <w:tmpl w:val="C1F8F9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Arial Narrow" w:eastAsia="Calibri" w:hAnsi="Arial Narrow" w:cs="Arial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397"/>
        </w:tabs>
        <w:ind w:left="396" w:hanging="283"/>
      </w:pPr>
      <w:rPr>
        <w:rFonts w:ascii="font204" w:hAnsi="font204" w:cs="font204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4F164B4"/>
    <w:multiLevelType w:val="hybridMultilevel"/>
    <w:tmpl w:val="10389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325F4"/>
    <w:multiLevelType w:val="hybridMultilevel"/>
    <w:tmpl w:val="6EF88D50"/>
    <w:lvl w:ilvl="0" w:tplc="E0D86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D2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860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409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96A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C8E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D65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3EB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C8C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C4669FE"/>
    <w:multiLevelType w:val="hybridMultilevel"/>
    <w:tmpl w:val="E21CFD6C"/>
    <w:lvl w:ilvl="0" w:tplc="CFAE00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CF6562"/>
    <w:multiLevelType w:val="hybridMultilevel"/>
    <w:tmpl w:val="6BAAB2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DD415F"/>
    <w:multiLevelType w:val="hybridMultilevel"/>
    <w:tmpl w:val="2C94A3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6A2"/>
    <w:rsid w:val="000B3E46"/>
    <w:rsid w:val="00260F14"/>
    <w:rsid w:val="002E6125"/>
    <w:rsid w:val="002F105D"/>
    <w:rsid w:val="00415939"/>
    <w:rsid w:val="00476AB4"/>
    <w:rsid w:val="004E7F51"/>
    <w:rsid w:val="00674758"/>
    <w:rsid w:val="007B16A2"/>
    <w:rsid w:val="007E4D82"/>
    <w:rsid w:val="00891CB1"/>
    <w:rsid w:val="00892969"/>
    <w:rsid w:val="00900CED"/>
    <w:rsid w:val="00920499"/>
    <w:rsid w:val="0093428C"/>
    <w:rsid w:val="00971FF1"/>
    <w:rsid w:val="00A01E3D"/>
    <w:rsid w:val="00A5790E"/>
    <w:rsid w:val="00AB0417"/>
    <w:rsid w:val="00B20F6A"/>
    <w:rsid w:val="00BF43D9"/>
    <w:rsid w:val="00D75646"/>
    <w:rsid w:val="00DE7708"/>
    <w:rsid w:val="00E13F7C"/>
    <w:rsid w:val="00E17A5D"/>
    <w:rsid w:val="00F83AE9"/>
    <w:rsid w:val="00F87235"/>
    <w:rsid w:val="00FB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002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419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06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2</cp:revision>
  <dcterms:created xsi:type="dcterms:W3CDTF">2015-03-25T09:21:00Z</dcterms:created>
  <dcterms:modified xsi:type="dcterms:W3CDTF">2015-03-25T09:21:00Z</dcterms:modified>
</cp:coreProperties>
</file>