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55"/>
        <w:gridCol w:w="1713"/>
      </w:tblGrid>
      <w:tr w:rsidR="00973E03" w:rsidTr="008F35D0">
        <w:trPr>
          <w:jc w:val="center"/>
        </w:trPr>
        <w:tc>
          <w:tcPr>
            <w:tcW w:w="8455" w:type="dxa"/>
            <w:hideMark/>
          </w:tcPr>
          <w:p w:rsidR="00973E03" w:rsidRDefault="00973E03" w:rsidP="008F35D0">
            <w:pPr>
              <w:jc w:val="center"/>
              <w:rPr>
                <w:b/>
                <w:szCs w:val="28"/>
                <w:lang w:val="en-GB" w:eastAsia="en-US"/>
              </w:rPr>
            </w:pPr>
            <w:r>
              <w:rPr>
                <w:b/>
                <w:sz w:val="24"/>
                <w:szCs w:val="28"/>
                <w:lang w:val="en-GB" w:eastAsia="en-US"/>
              </w:rPr>
              <w:t>WASH Minimum Commitments for the Safety and Dignity of Affected Populations</w:t>
            </w:r>
          </w:p>
          <w:p w:rsidR="00973E03" w:rsidRDefault="00973E03" w:rsidP="008F35D0">
            <w:pPr>
              <w:jc w:val="center"/>
              <w:rPr>
                <w:b/>
                <w:sz w:val="18"/>
                <w:szCs w:val="28"/>
                <w:lang w:val="en-GB" w:eastAsia="en-US"/>
              </w:rPr>
            </w:pPr>
          </w:p>
        </w:tc>
        <w:tc>
          <w:tcPr>
            <w:tcW w:w="1713" w:type="dxa"/>
            <w:vAlign w:val="center"/>
            <w:hideMark/>
          </w:tcPr>
          <w:p w:rsidR="00973E03" w:rsidRDefault="00973E03" w:rsidP="008F35D0">
            <w:pPr>
              <w:jc w:val="center"/>
              <w:rPr>
                <w:b/>
                <w:sz w:val="18"/>
                <w:szCs w:val="28"/>
                <w:lang w:val="en-GB" w:eastAsia="en-US"/>
              </w:rPr>
            </w:pPr>
            <w:r>
              <w:rPr>
                <w:b/>
                <w:noProof/>
                <w:sz w:val="18"/>
                <w:szCs w:val="28"/>
                <w:lang w:val="en-US" w:eastAsia="en-US"/>
              </w:rPr>
              <w:drawing>
                <wp:inline distT="0" distB="0" distL="0" distR="0" wp14:anchorId="25EF3A1B" wp14:editId="6594F1A7">
                  <wp:extent cx="971550" cy="32385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E03" w:rsidRPr="001E2E5F" w:rsidRDefault="00973E03" w:rsidP="00973E03">
      <w:pPr>
        <w:jc w:val="both"/>
        <w:rPr>
          <w:rFonts w:eastAsia="Times New Roman"/>
          <w:b/>
          <w:color w:val="000000"/>
          <w:sz w:val="16"/>
          <w:szCs w:val="16"/>
          <w:lang w:val="en-GB" w:eastAsia="en-NZ"/>
        </w:rPr>
      </w:pPr>
    </w:p>
    <w:p w:rsidR="00973E03" w:rsidRPr="008055D0" w:rsidRDefault="00973E03" w:rsidP="00973E03">
      <w:pPr>
        <w:jc w:val="both"/>
        <w:rPr>
          <w:rFonts w:eastAsia="Times New Roman"/>
          <w:color w:val="000000"/>
          <w:lang w:val="en-US" w:eastAsia="en-NZ"/>
        </w:rPr>
      </w:pPr>
      <w:r w:rsidRPr="008055D0">
        <w:rPr>
          <w:rFonts w:eastAsia="Times New Roman"/>
          <w:color w:val="000000"/>
          <w:lang w:val="en-US" w:eastAsia="en-NZ"/>
        </w:rPr>
        <w:t xml:space="preserve">The Global WASH cluster partners have agreed that </w:t>
      </w:r>
      <w:r w:rsidRPr="008055D0">
        <w:rPr>
          <w:rFonts w:eastAsia="Times New Roman"/>
          <w:b/>
          <w:color w:val="000000"/>
          <w:lang w:val="en-US" w:eastAsia="en-NZ"/>
        </w:rPr>
        <w:t>5 minimum commitments</w:t>
      </w:r>
      <w:r w:rsidRPr="008055D0">
        <w:rPr>
          <w:rFonts w:eastAsia="Times New Roman"/>
          <w:color w:val="000000"/>
          <w:lang w:val="en-US" w:eastAsia="en-NZ"/>
        </w:rPr>
        <w:t xml:space="preserve"> should be observed in all their humanitarian WASH </w:t>
      </w:r>
      <w:proofErr w:type="spellStart"/>
      <w:r w:rsidRPr="008055D0">
        <w:rPr>
          <w:rFonts w:eastAsia="Times New Roman"/>
          <w:color w:val="000000"/>
          <w:lang w:val="en-US" w:eastAsia="en-NZ"/>
        </w:rPr>
        <w:t>programmes</w:t>
      </w:r>
      <w:proofErr w:type="spellEnd"/>
      <w:r w:rsidRPr="008055D0">
        <w:rPr>
          <w:rFonts w:eastAsia="Times New Roman"/>
          <w:color w:val="000000"/>
          <w:lang w:val="en-US" w:eastAsia="en-NZ"/>
        </w:rPr>
        <w:t xml:space="preserve"> to ensure that the distinct assistance and protection needs of the affected population are met. These commitments, </w:t>
      </w:r>
      <w:proofErr w:type="spellStart"/>
      <w:r w:rsidRPr="008055D0">
        <w:rPr>
          <w:rFonts w:eastAsia="Times New Roman"/>
          <w:color w:val="000000"/>
          <w:lang w:val="en-US" w:eastAsia="en-NZ"/>
        </w:rPr>
        <w:t>centred</w:t>
      </w:r>
      <w:proofErr w:type="spellEnd"/>
      <w:r w:rsidRPr="008055D0">
        <w:rPr>
          <w:rFonts w:eastAsia="Times New Roman"/>
          <w:color w:val="000000"/>
          <w:lang w:val="en-US" w:eastAsia="en-NZ"/>
        </w:rPr>
        <w:t xml:space="preserve"> on people, aim at improving the quality and efficiency of the WASH response </w:t>
      </w:r>
      <w:proofErr w:type="spellStart"/>
      <w:r w:rsidRPr="008055D0">
        <w:rPr>
          <w:rFonts w:eastAsia="Times New Roman"/>
          <w:color w:val="000000"/>
          <w:lang w:val="en-US" w:eastAsia="en-NZ"/>
        </w:rPr>
        <w:t>programmes</w:t>
      </w:r>
      <w:proofErr w:type="spellEnd"/>
      <w:r w:rsidRPr="008055D0">
        <w:rPr>
          <w:rFonts w:eastAsia="Times New Roman"/>
          <w:color w:val="000000"/>
          <w:lang w:val="en-US" w:eastAsia="en-NZ"/>
        </w:rPr>
        <w:t xml:space="preserve"> in every context, and at ensuring that key issues are taken into consideration by all partners, such as gender,  gender based violence, child protection, disability, and age. </w:t>
      </w:r>
    </w:p>
    <w:p w:rsidR="00973E03" w:rsidRDefault="00973E03" w:rsidP="00973E03">
      <w:pPr>
        <w:jc w:val="both"/>
        <w:rPr>
          <w:rFonts w:eastAsia="Times New Roman"/>
          <w:color w:val="000000"/>
          <w:lang w:eastAsia="en-NZ"/>
        </w:rPr>
      </w:pPr>
      <w:r w:rsidRPr="008055D0">
        <w:rPr>
          <w:rFonts w:eastAsia="Times New Roman"/>
          <w:color w:val="000000"/>
          <w:lang w:val="en-US" w:eastAsia="en-NZ"/>
        </w:rPr>
        <w:t xml:space="preserve">The respect of these minimum commitments all along the humanitarian programme cycle reinforces the accountability of the WASH partners to the affected population. </w:t>
      </w:r>
      <w:proofErr w:type="spellStart"/>
      <w:r>
        <w:rPr>
          <w:rFonts w:eastAsia="Times New Roman"/>
          <w:color w:val="000000"/>
          <w:lang w:eastAsia="en-NZ"/>
        </w:rPr>
        <w:t>These</w:t>
      </w:r>
      <w:proofErr w:type="spellEnd"/>
      <w:r>
        <w:rPr>
          <w:rFonts w:eastAsia="Times New Roman"/>
          <w:color w:val="000000"/>
          <w:lang w:eastAsia="en-NZ"/>
        </w:rPr>
        <w:t xml:space="preserve"> </w:t>
      </w:r>
      <w:proofErr w:type="spellStart"/>
      <w:r>
        <w:rPr>
          <w:rFonts w:eastAsia="Times New Roman"/>
          <w:color w:val="000000"/>
          <w:lang w:eastAsia="en-NZ"/>
        </w:rPr>
        <w:t>commitments</w:t>
      </w:r>
      <w:proofErr w:type="spellEnd"/>
      <w:r>
        <w:rPr>
          <w:rFonts w:eastAsia="Times New Roman"/>
          <w:color w:val="000000"/>
          <w:lang w:eastAsia="en-NZ"/>
        </w:rPr>
        <w:t xml:space="preserve"> are as </w:t>
      </w:r>
      <w:proofErr w:type="spellStart"/>
      <w:r>
        <w:rPr>
          <w:rFonts w:eastAsia="Times New Roman"/>
          <w:color w:val="000000"/>
          <w:lang w:eastAsia="en-NZ"/>
        </w:rPr>
        <w:t>follows</w:t>
      </w:r>
      <w:proofErr w:type="spellEnd"/>
      <w:r>
        <w:rPr>
          <w:rFonts w:eastAsia="Times New Roman"/>
          <w:color w:val="000000"/>
          <w:lang w:eastAsia="en-NZ"/>
        </w:rPr>
        <w:t>:</w:t>
      </w:r>
    </w:p>
    <w:p w:rsidR="00973E03" w:rsidRDefault="00973E03" w:rsidP="00973E03">
      <w:pPr>
        <w:pStyle w:val="ListParagraph"/>
        <w:numPr>
          <w:ilvl w:val="0"/>
          <w:numId w:val="1"/>
        </w:numPr>
        <w:ind w:left="540"/>
        <w:jc w:val="both"/>
        <w:rPr>
          <w:b/>
          <w:lang w:val="en-NZ" w:eastAsia="en-NZ"/>
        </w:rPr>
      </w:pPr>
      <w:r>
        <w:rPr>
          <w:lang w:val="en-NZ" w:eastAsia="en-NZ"/>
        </w:rPr>
        <w:t xml:space="preserve">Consult separately girls, boys, women, and men, including older people and those with disabilities, to ensure that </w:t>
      </w:r>
      <w:r>
        <w:rPr>
          <w:b/>
          <w:lang w:val="en-NZ" w:eastAsia="en-NZ"/>
        </w:rPr>
        <w:t>WASH programs are designed so as to provide equitable access and reduce  incidences of violence;</w:t>
      </w:r>
    </w:p>
    <w:p w:rsidR="004F022D" w:rsidRDefault="004F022D" w:rsidP="004F022D">
      <w:pPr>
        <w:pStyle w:val="ListParagraph"/>
        <w:ind w:left="540"/>
        <w:jc w:val="both"/>
        <w:rPr>
          <w:b/>
          <w:lang w:val="en-NZ" w:eastAsia="en-NZ"/>
        </w:rPr>
      </w:pPr>
    </w:p>
    <w:p w:rsidR="00973E03" w:rsidRPr="004F022D" w:rsidRDefault="00973E03" w:rsidP="00973E03">
      <w:pPr>
        <w:pStyle w:val="ListParagraph"/>
        <w:numPr>
          <w:ilvl w:val="0"/>
          <w:numId w:val="1"/>
        </w:numPr>
        <w:ind w:left="540"/>
        <w:jc w:val="both"/>
      </w:pPr>
      <w:r>
        <w:rPr>
          <w:lang w:val="en-NZ" w:eastAsia="en-NZ"/>
        </w:rPr>
        <w:t xml:space="preserve">Ensure that girls, boys, women, and men, including older people and those with disabilities have </w:t>
      </w:r>
      <w:r>
        <w:rPr>
          <w:b/>
          <w:lang w:val="en-NZ" w:eastAsia="en-NZ"/>
        </w:rPr>
        <w:t>access to appropriate and safe WASH services;</w:t>
      </w:r>
    </w:p>
    <w:p w:rsidR="004F022D" w:rsidRDefault="004F022D" w:rsidP="004F022D">
      <w:pPr>
        <w:pStyle w:val="ListParagraph"/>
      </w:pPr>
    </w:p>
    <w:p w:rsidR="004F022D" w:rsidRPr="008055D0" w:rsidRDefault="004F022D" w:rsidP="004F022D">
      <w:pPr>
        <w:pStyle w:val="ListParagraph"/>
        <w:ind w:left="540"/>
        <w:jc w:val="both"/>
      </w:pPr>
    </w:p>
    <w:p w:rsidR="00973E03" w:rsidRPr="004F022D" w:rsidRDefault="00973E03" w:rsidP="00973E03">
      <w:pPr>
        <w:pStyle w:val="ListParagraph"/>
        <w:numPr>
          <w:ilvl w:val="0"/>
          <w:numId w:val="1"/>
        </w:numPr>
        <w:ind w:left="540"/>
        <w:jc w:val="both"/>
      </w:pPr>
      <w:r>
        <w:rPr>
          <w:lang w:val="en-NZ" w:eastAsia="en-NZ"/>
        </w:rPr>
        <w:t xml:space="preserve">Ensure that girls, boys, women, and men, including older people and those with disabilities, have access to </w:t>
      </w:r>
      <w:r>
        <w:rPr>
          <w:b/>
          <w:lang w:val="en-NZ" w:eastAsia="en-NZ"/>
        </w:rPr>
        <w:t>feedback &amp; complaint mechanisms</w:t>
      </w:r>
      <w:r>
        <w:rPr>
          <w:lang w:val="en-NZ" w:eastAsia="en-NZ"/>
        </w:rPr>
        <w:t xml:space="preserve"> so that corrective actions can address their specific protection and assistance needs;</w:t>
      </w:r>
    </w:p>
    <w:p w:rsidR="004F022D" w:rsidRDefault="004F022D" w:rsidP="004F022D">
      <w:pPr>
        <w:pStyle w:val="ListParagraph"/>
        <w:ind w:left="540"/>
        <w:jc w:val="both"/>
      </w:pPr>
    </w:p>
    <w:p w:rsidR="00973E03" w:rsidRPr="004F022D" w:rsidRDefault="00973E03" w:rsidP="00973E03">
      <w:pPr>
        <w:pStyle w:val="ListParagraph"/>
        <w:numPr>
          <w:ilvl w:val="0"/>
          <w:numId w:val="1"/>
        </w:numPr>
        <w:ind w:left="540"/>
        <w:jc w:val="both"/>
      </w:pPr>
      <w:r>
        <w:rPr>
          <w:b/>
          <w:lang w:val="en-NZ" w:eastAsia="en-NZ"/>
        </w:rPr>
        <w:t>Monitor and evaluate safe and equitable access</w:t>
      </w:r>
      <w:r>
        <w:rPr>
          <w:lang w:val="en-NZ" w:eastAsia="en-NZ"/>
        </w:rPr>
        <w:t xml:space="preserve"> and use of WASH services in WASH projects;</w:t>
      </w:r>
    </w:p>
    <w:p w:rsidR="004F022D" w:rsidRDefault="004F022D" w:rsidP="004F022D">
      <w:pPr>
        <w:pStyle w:val="ListParagraph"/>
      </w:pPr>
    </w:p>
    <w:p w:rsidR="004F022D" w:rsidRDefault="004F022D" w:rsidP="004F022D">
      <w:pPr>
        <w:pStyle w:val="ListParagraph"/>
        <w:ind w:left="540"/>
        <w:jc w:val="both"/>
      </w:pPr>
      <w:bookmarkStart w:id="0" w:name="_GoBack"/>
      <w:bookmarkEnd w:id="0"/>
    </w:p>
    <w:p w:rsidR="00973E03" w:rsidRDefault="00973E03" w:rsidP="00973E03">
      <w:pPr>
        <w:pStyle w:val="ListParagraph"/>
        <w:numPr>
          <w:ilvl w:val="0"/>
          <w:numId w:val="1"/>
        </w:numPr>
        <w:ind w:left="540"/>
        <w:jc w:val="both"/>
      </w:pPr>
      <w:r>
        <w:rPr>
          <w:lang w:val="en-NZ" w:eastAsia="en-NZ"/>
        </w:rPr>
        <w:t xml:space="preserve"> Give </w:t>
      </w:r>
      <w:r>
        <w:rPr>
          <w:b/>
          <w:lang w:val="en-NZ" w:eastAsia="en-NZ"/>
        </w:rPr>
        <w:t>priority to girls</w:t>
      </w:r>
      <w:r>
        <w:rPr>
          <w:lang w:val="en-NZ" w:eastAsia="en-NZ"/>
        </w:rPr>
        <w:t xml:space="preserve"> (particularly adolescents) and </w:t>
      </w:r>
      <w:r>
        <w:rPr>
          <w:b/>
          <w:lang w:val="en-NZ" w:eastAsia="en-NZ"/>
        </w:rPr>
        <w:t xml:space="preserve">women’s participation </w:t>
      </w:r>
      <w:r>
        <w:rPr>
          <w:lang w:val="en-NZ" w:eastAsia="en-NZ"/>
        </w:rPr>
        <w:t>in the consultation process.</w:t>
      </w:r>
    </w:p>
    <w:p w:rsidR="008E2DCF" w:rsidRDefault="008E2DCF"/>
    <w:sectPr w:rsidR="008E2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81623"/>
    <w:multiLevelType w:val="hybridMultilevel"/>
    <w:tmpl w:val="12B277C0"/>
    <w:lvl w:ilvl="0" w:tplc="7AAEC8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03"/>
    <w:rsid w:val="004F022D"/>
    <w:rsid w:val="008E2DCF"/>
    <w:rsid w:val="00973E03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03"/>
    <w:rPr>
      <w:rFonts w:eastAsiaTheme="minorEastAsia" w:cs="Times New Roman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E03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uiPriority w:val="59"/>
    <w:rsid w:val="00973E03"/>
    <w:pPr>
      <w:spacing w:after="0" w:line="240" w:lineRule="auto"/>
    </w:pPr>
    <w:rPr>
      <w:rFonts w:eastAsiaTheme="minorEastAsia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E03"/>
    <w:rPr>
      <w:rFonts w:ascii="Tahoma" w:eastAsiaTheme="minorEastAsi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03"/>
    <w:rPr>
      <w:rFonts w:eastAsiaTheme="minorEastAsia" w:cs="Times New Roman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E03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uiPriority w:val="59"/>
    <w:rsid w:val="00973E03"/>
    <w:pPr>
      <w:spacing w:after="0" w:line="240" w:lineRule="auto"/>
    </w:pPr>
    <w:rPr>
      <w:rFonts w:eastAsiaTheme="minorEastAsia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E03"/>
    <w:rPr>
      <w:rFonts w:ascii="Tahoma" w:eastAsiaTheme="minorEastAsi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ocha-00153</dc:creator>
  <cp:lastModifiedBy>ocha-00153</cp:lastModifiedBy>
  <cp:revision>2</cp:revision>
  <dcterms:created xsi:type="dcterms:W3CDTF">2015-04-06T09:15:00Z</dcterms:created>
  <dcterms:modified xsi:type="dcterms:W3CDTF">2015-04-06T09:32:00Z</dcterms:modified>
</cp:coreProperties>
</file>