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658" w:rsidRDefault="00CA1658" w:rsidP="00442C18">
      <w:pPr>
        <w:spacing w:after="0" w:line="240" w:lineRule="auto"/>
        <w:jc w:val="both"/>
        <w:rPr>
          <w:rFonts w:ascii="Arial" w:hAnsi="Arial" w:cs="Arial"/>
          <w:b/>
        </w:rPr>
      </w:pPr>
    </w:p>
    <w:p w:rsidR="00EE1264" w:rsidRPr="008D4C92" w:rsidRDefault="008D4C92" w:rsidP="008D4C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4C92">
        <w:rPr>
          <w:rFonts w:ascii="Arial" w:hAnsi="Arial" w:cs="Arial"/>
          <w:b/>
          <w:sz w:val="24"/>
          <w:szCs w:val="24"/>
        </w:rPr>
        <w:t>PROTECTION MAINSTREAMING TRAINING PLAN</w:t>
      </w:r>
    </w:p>
    <w:p w:rsidR="00EE1264" w:rsidRDefault="00EE1264" w:rsidP="00442C18">
      <w:pPr>
        <w:spacing w:after="0" w:line="240" w:lineRule="auto"/>
        <w:jc w:val="both"/>
        <w:rPr>
          <w:rFonts w:ascii="Arial" w:hAnsi="Arial" w:cs="Arial"/>
          <w:b/>
        </w:rPr>
      </w:pPr>
    </w:p>
    <w:p w:rsidR="00442C18" w:rsidRDefault="00442C18" w:rsidP="00442C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training plan was established to ensure that protection principles are mainstreamed throughout the response. The following activities will be organized </w:t>
      </w:r>
      <w:r w:rsidR="00EE1264">
        <w:rPr>
          <w:rFonts w:ascii="Arial" w:hAnsi="Arial" w:cs="Arial"/>
          <w:sz w:val="20"/>
          <w:szCs w:val="20"/>
        </w:rPr>
        <w:t>between June and December 2017 by the Protection Mainstreaming Focal Points.</w:t>
      </w:r>
    </w:p>
    <w:p w:rsidR="00EE1264" w:rsidRDefault="00EE1264" w:rsidP="00EE126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85" w:type="dxa"/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4320"/>
        <w:gridCol w:w="1710"/>
        <w:gridCol w:w="2610"/>
        <w:gridCol w:w="1980"/>
      </w:tblGrid>
      <w:tr w:rsidR="00EE1264" w:rsidRPr="00EE1264" w:rsidTr="00EE1264">
        <w:trPr>
          <w:trHeight w:val="548"/>
        </w:trPr>
        <w:tc>
          <w:tcPr>
            <w:tcW w:w="1345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Location</w:t>
            </w:r>
          </w:p>
        </w:tc>
        <w:tc>
          <w:tcPr>
            <w:tcW w:w="1620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Sector</w:t>
            </w:r>
          </w:p>
        </w:tc>
        <w:tc>
          <w:tcPr>
            <w:tcW w:w="4320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1710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Target</w:t>
            </w:r>
          </w:p>
        </w:tc>
        <w:tc>
          <w:tcPr>
            <w:tcW w:w="2610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Target Audience</w:t>
            </w:r>
          </w:p>
        </w:tc>
        <w:tc>
          <w:tcPr>
            <w:tcW w:w="1980" w:type="dxa"/>
            <w:shd w:val="clear" w:color="auto" w:fill="5B9BD5" w:themeFill="accent1"/>
            <w:vAlign w:val="center"/>
          </w:tcPr>
          <w:p w:rsidR="00EE1264" w:rsidRPr="00EE1264" w:rsidRDefault="00EE1264" w:rsidP="00EE1264">
            <w:pPr>
              <w:rPr>
                <w:rFonts w:ascii="Arial" w:hAnsi="Arial" w:cs="Arial"/>
                <w:b/>
              </w:rPr>
            </w:pPr>
            <w:r w:rsidRPr="00EE1264">
              <w:rPr>
                <w:rFonts w:ascii="Arial" w:hAnsi="Arial" w:cs="Arial"/>
                <w:b/>
              </w:rPr>
              <w:t>Timeline</w:t>
            </w:r>
          </w:p>
        </w:tc>
      </w:tr>
      <w:tr w:rsidR="00EE1264" w:rsidTr="00EE1264">
        <w:tc>
          <w:tcPr>
            <w:tcW w:w="13585" w:type="dxa"/>
            <w:gridSpan w:val="6"/>
            <w:shd w:val="clear" w:color="auto" w:fill="DEEAF6" w:themeFill="accent1" w:themeFillTint="33"/>
            <w:vAlign w:val="center"/>
          </w:tcPr>
          <w:p w:rsidR="00EE1264" w:rsidRPr="00AB0209" w:rsidRDefault="00EE1264" w:rsidP="00EE12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B0209">
              <w:rPr>
                <w:rFonts w:ascii="Arial" w:hAnsi="Arial" w:cs="Arial"/>
                <w:i/>
                <w:sz w:val="20"/>
                <w:szCs w:val="20"/>
              </w:rPr>
              <w:t>Cluster/Sector Level</w:t>
            </w:r>
          </w:p>
        </w:tc>
      </w:tr>
      <w:tr w:rsidR="00EE1264" w:rsidTr="00EE1264">
        <w:tc>
          <w:tcPr>
            <w:tcW w:w="1345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Yangon</w:t>
            </w: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WASH</w:t>
            </w:r>
          </w:p>
        </w:tc>
        <w:tc>
          <w:tcPr>
            <w:tcW w:w="432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Briefing Session on Protection Mainstreaming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hours)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 per cluster/sector</w:t>
            </w:r>
          </w:p>
        </w:tc>
        <w:tc>
          <w:tcPr>
            <w:tcW w:w="26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Cluster/Sector Meeting</w:t>
            </w:r>
          </w:p>
        </w:tc>
        <w:tc>
          <w:tcPr>
            <w:tcW w:w="198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June 2017</w:t>
            </w: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CCCM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Food Security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Sittwe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CCCM/Shelter</w:t>
            </w:r>
          </w:p>
        </w:tc>
        <w:tc>
          <w:tcPr>
            <w:tcW w:w="432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Briefing Session on Protection Mainstreaming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hours)</w:t>
            </w:r>
          </w:p>
        </w:tc>
        <w:tc>
          <w:tcPr>
            <w:tcW w:w="17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 per cluster/sector</w:t>
            </w:r>
          </w:p>
        </w:tc>
        <w:tc>
          <w:tcPr>
            <w:tcW w:w="26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Cluster/Sector Meeting</w:t>
            </w:r>
          </w:p>
        </w:tc>
        <w:tc>
          <w:tcPr>
            <w:tcW w:w="198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June 2017</w:t>
            </w: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Food Security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rPr>
          <w:trHeight w:val="242"/>
        </w:trPr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WASH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rPr>
          <w:trHeight w:val="242"/>
        </w:trPr>
        <w:tc>
          <w:tcPr>
            <w:tcW w:w="1345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Myitkyina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CCCM/Shelter</w:t>
            </w:r>
          </w:p>
        </w:tc>
        <w:tc>
          <w:tcPr>
            <w:tcW w:w="432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Briefing Session on Protection Mainstreaming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hours)</w:t>
            </w:r>
          </w:p>
        </w:tc>
        <w:tc>
          <w:tcPr>
            <w:tcW w:w="17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 per cluster/sector</w:t>
            </w:r>
          </w:p>
        </w:tc>
        <w:tc>
          <w:tcPr>
            <w:tcW w:w="261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Cluster/Sector Meeting</w:t>
            </w:r>
          </w:p>
        </w:tc>
        <w:tc>
          <w:tcPr>
            <w:tcW w:w="1980" w:type="dxa"/>
            <w:vMerge w:val="restart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Depending on cluster meeting schedule</w:t>
            </w:r>
          </w:p>
        </w:tc>
      </w:tr>
      <w:tr w:rsidR="00EE1264" w:rsidTr="00EE1264">
        <w:trPr>
          <w:trHeight w:val="242"/>
        </w:trPr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WASH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rPr>
          <w:trHeight w:val="242"/>
        </w:trPr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rPr>
          <w:trHeight w:val="242"/>
        </w:trPr>
        <w:tc>
          <w:tcPr>
            <w:tcW w:w="1345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Health/Nutrition</w:t>
            </w:r>
          </w:p>
        </w:tc>
        <w:tc>
          <w:tcPr>
            <w:tcW w:w="432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264" w:rsidTr="00EE1264">
        <w:trPr>
          <w:trHeight w:val="242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Bahmo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sectors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Briefing Session on Protection Mainstreaming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hours)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GMC Meeting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Depending on the GMC meeting schedule</w:t>
            </w:r>
          </w:p>
        </w:tc>
      </w:tr>
      <w:tr w:rsidR="00EE1264" w:rsidTr="00EE1264">
        <w:trPr>
          <w:trHeight w:val="242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Lasho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sectors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Briefing Session on Protection Mainstreaming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 hours)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GMC Meeting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Depending on the GMC meeting schedule</w:t>
            </w:r>
          </w:p>
        </w:tc>
      </w:tr>
      <w:tr w:rsidR="00EE1264" w:rsidTr="00EE1264">
        <w:tc>
          <w:tcPr>
            <w:tcW w:w="13585" w:type="dxa"/>
            <w:gridSpan w:val="6"/>
            <w:shd w:val="clear" w:color="auto" w:fill="DEEAF6" w:themeFill="accent1" w:themeFillTint="33"/>
            <w:vAlign w:val="center"/>
          </w:tcPr>
          <w:p w:rsidR="00EE1264" w:rsidRPr="00AB0209" w:rsidRDefault="00EE1264" w:rsidP="00EE12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B0209">
              <w:rPr>
                <w:rFonts w:ascii="Arial" w:hAnsi="Arial" w:cs="Arial"/>
                <w:i/>
                <w:sz w:val="20"/>
                <w:szCs w:val="20"/>
              </w:rPr>
              <w:t>Field Staff / Frontline Workers</w:t>
            </w:r>
          </w:p>
        </w:tc>
      </w:tr>
      <w:tr w:rsidR="00EE1264" w:rsidTr="00EE1264"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Sittwe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(IDP Camps)</w:t>
            </w:r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CCCM/Shelter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Training on Protection Mainstreaming 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Camp-based staff and CMC members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October 2017</w:t>
            </w:r>
          </w:p>
        </w:tc>
      </w:tr>
      <w:tr w:rsidR="00EE1264" w:rsidTr="00EE1264">
        <w:trPr>
          <w:trHeight w:val="920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Sittwe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Training on Protection Mainstreaming 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Teachers, school directors, parent/student-associations, project officers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2017</w:t>
            </w:r>
          </w:p>
        </w:tc>
      </w:tr>
      <w:tr w:rsidR="00EE1264" w:rsidTr="00EE1264"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Sittwe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Food Security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Distribution officers, project officers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2017</w:t>
            </w:r>
          </w:p>
        </w:tc>
      </w:tr>
      <w:tr w:rsidR="00EE1264" w:rsidTr="00EE1264"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Sittwe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Health center directors, doctors, midwifes, health committees,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2017</w:t>
            </w:r>
          </w:p>
        </w:tc>
      </w:tr>
      <w:tr w:rsidR="00EE1264" w:rsidTr="00EE1264">
        <w:trPr>
          <w:trHeight w:val="530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Sittwe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WASH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Engineers, hygiene p</w:t>
            </w:r>
            <w:r w:rsidR="00DF26A9">
              <w:rPr>
                <w:rFonts w:ascii="Arial" w:hAnsi="Arial" w:cs="Arial"/>
                <w:sz w:val="20"/>
                <w:szCs w:val="20"/>
              </w:rPr>
              <w:t>romotion officer</w:t>
            </w:r>
            <w:r>
              <w:rPr>
                <w:rFonts w:ascii="Arial" w:hAnsi="Arial" w:cs="Arial"/>
                <w:sz w:val="20"/>
                <w:szCs w:val="20"/>
              </w:rPr>
              <w:t xml:space="preserve">s, </w:t>
            </w:r>
            <w:r w:rsidR="007C0D9A">
              <w:rPr>
                <w:rFonts w:ascii="Arial" w:hAnsi="Arial" w:cs="Arial"/>
                <w:sz w:val="20"/>
                <w:szCs w:val="20"/>
              </w:rPr>
              <w:t>water and sanitation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officer</w:t>
            </w:r>
            <w:r w:rsidR="007C0D9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week of June</w:t>
            </w:r>
          </w:p>
        </w:tc>
      </w:tr>
      <w:tr w:rsidR="00EE1264" w:rsidTr="00EE1264">
        <w:trPr>
          <w:trHeight w:val="422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A1658">
              <w:rPr>
                <w:rFonts w:ascii="Arial" w:hAnsi="Arial" w:cs="Arial"/>
                <w:sz w:val="20"/>
                <w:szCs w:val="20"/>
              </w:rPr>
              <w:t>Mawydaw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sectors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NGOs staff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2017</w:t>
            </w:r>
          </w:p>
        </w:tc>
      </w:tr>
      <w:tr w:rsidR="00EE1264" w:rsidTr="00EE1264">
        <w:trPr>
          <w:trHeight w:val="530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Bahmo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sectors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UNHCR implementing partners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be determined</w:t>
            </w:r>
          </w:p>
        </w:tc>
      </w:tr>
      <w:tr w:rsidR="00EE1264" w:rsidTr="00EE1264">
        <w:trPr>
          <w:trHeight w:val="512"/>
        </w:trPr>
        <w:tc>
          <w:tcPr>
            <w:tcW w:w="1345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Laiza</w:t>
            </w:r>
            <w:proofErr w:type="spellEnd"/>
          </w:p>
        </w:tc>
        <w:tc>
          <w:tcPr>
            <w:tcW w:w="16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sectors</w:t>
            </w:r>
          </w:p>
        </w:tc>
        <w:tc>
          <w:tcPr>
            <w:tcW w:w="432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Training on Protection Mainstreaming organized by Metta</w:t>
            </w:r>
          </w:p>
        </w:tc>
        <w:tc>
          <w:tcPr>
            <w:tcW w:w="17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session</w:t>
            </w:r>
          </w:p>
        </w:tc>
        <w:tc>
          <w:tcPr>
            <w:tcW w:w="261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NGOs staff</w:t>
            </w:r>
          </w:p>
        </w:tc>
        <w:tc>
          <w:tcPr>
            <w:tcW w:w="1980" w:type="dxa"/>
            <w:vAlign w:val="center"/>
          </w:tcPr>
          <w:p w:rsidR="00EE1264" w:rsidRDefault="00EE1264" w:rsidP="00EE1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be determined</w:t>
            </w:r>
          </w:p>
        </w:tc>
      </w:tr>
    </w:tbl>
    <w:p w:rsidR="00EE1264" w:rsidRDefault="00EE1264" w:rsidP="00D9557E">
      <w:pPr>
        <w:rPr>
          <w:rFonts w:ascii="Arial" w:hAnsi="Arial" w:cs="Arial"/>
          <w:sz w:val="20"/>
          <w:szCs w:val="20"/>
        </w:rPr>
      </w:pPr>
    </w:p>
    <w:p w:rsidR="00D9557E" w:rsidRPr="00D9557E" w:rsidRDefault="00D9557E" w:rsidP="00D9557E">
      <w:pPr>
        <w:spacing w:after="0"/>
        <w:rPr>
          <w:rFonts w:ascii="Arial" w:hAnsi="Arial" w:cs="Arial"/>
          <w:b/>
        </w:rPr>
      </w:pPr>
      <w:r w:rsidRPr="00D9557E">
        <w:rPr>
          <w:rFonts w:ascii="Arial" w:hAnsi="Arial" w:cs="Arial"/>
          <w:b/>
        </w:rPr>
        <w:t xml:space="preserve">Material Available </w:t>
      </w:r>
    </w:p>
    <w:p w:rsidR="00D9557E" w:rsidRDefault="00D9557E" w:rsidP="00D9557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material is available to conduct the briefing and training sessions: </w:t>
      </w:r>
    </w:p>
    <w:p w:rsidR="00D9557E" w:rsidRPr="00D9557E" w:rsidRDefault="00D9557E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9557E">
        <w:rPr>
          <w:rFonts w:ascii="Arial" w:hAnsi="Arial" w:cs="Arial"/>
          <w:sz w:val="20"/>
          <w:szCs w:val="20"/>
        </w:rPr>
        <w:t>GPC Training Manual</w:t>
      </w:r>
      <w:r w:rsidR="00EE1264">
        <w:rPr>
          <w:rFonts w:ascii="Arial" w:hAnsi="Arial" w:cs="Arial"/>
          <w:sz w:val="20"/>
          <w:szCs w:val="20"/>
        </w:rPr>
        <w:t xml:space="preserve"> (English)</w:t>
      </w:r>
    </w:p>
    <w:p w:rsidR="00D9557E" w:rsidRDefault="00D9557E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9557E">
        <w:rPr>
          <w:rFonts w:ascii="Arial" w:hAnsi="Arial" w:cs="Arial"/>
          <w:sz w:val="20"/>
          <w:szCs w:val="20"/>
        </w:rPr>
        <w:t>PowerPoint Presentation</w:t>
      </w:r>
      <w:r w:rsidR="00EE1264">
        <w:rPr>
          <w:rFonts w:ascii="Arial" w:hAnsi="Arial" w:cs="Arial"/>
          <w:sz w:val="20"/>
          <w:szCs w:val="20"/>
        </w:rPr>
        <w:t xml:space="preserve"> </w:t>
      </w:r>
      <w:r w:rsidR="00B24EB4">
        <w:rPr>
          <w:rFonts w:ascii="Arial" w:hAnsi="Arial" w:cs="Arial"/>
          <w:sz w:val="20"/>
          <w:szCs w:val="20"/>
        </w:rPr>
        <w:t xml:space="preserve">for a Briefing Session of 2 hours for Cluster Leads and Members </w:t>
      </w:r>
      <w:r w:rsidR="00EE1264">
        <w:rPr>
          <w:rFonts w:ascii="Arial" w:hAnsi="Arial" w:cs="Arial"/>
          <w:sz w:val="20"/>
          <w:szCs w:val="20"/>
        </w:rPr>
        <w:t>(English)</w:t>
      </w:r>
    </w:p>
    <w:p w:rsidR="00B24EB4" w:rsidRDefault="00B24EB4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PowerPoint Presentation for a Training Session of 4 hours for Field Staff and Frontline Workers (English)</w:t>
      </w:r>
    </w:p>
    <w:p w:rsidR="00EE1264" w:rsidRPr="00D9557E" w:rsidRDefault="00EE1264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Brief on Protection Mainstreaming (English – Myanmar)</w:t>
      </w:r>
    </w:p>
    <w:p w:rsidR="00D9557E" w:rsidRPr="00D9557E" w:rsidRDefault="00D9557E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9557E">
        <w:rPr>
          <w:rFonts w:ascii="Arial" w:hAnsi="Arial" w:cs="Arial"/>
          <w:sz w:val="20"/>
          <w:szCs w:val="20"/>
        </w:rPr>
        <w:t>Protection Mainstreaming Video</w:t>
      </w:r>
      <w:r w:rsidR="00EE1264">
        <w:rPr>
          <w:rFonts w:ascii="Arial" w:hAnsi="Arial" w:cs="Arial"/>
          <w:sz w:val="20"/>
          <w:szCs w:val="20"/>
        </w:rPr>
        <w:t xml:space="preserve"> (English – Myanmar)</w:t>
      </w:r>
    </w:p>
    <w:p w:rsidR="00B24EB4" w:rsidRPr="00D9557E" w:rsidRDefault="00B24EB4" w:rsidP="00B24EB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9557E">
        <w:rPr>
          <w:rFonts w:ascii="Arial" w:hAnsi="Arial" w:cs="Arial"/>
          <w:sz w:val="20"/>
          <w:szCs w:val="20"/>
        </w:rPr>
        <w:t xml:space="preserve">Sector-Specific Checklists for Rakhine and Kachin </w:t>
      </w:r>
      <w:r>
        <w:rPr>
          <w:rFonts w:ascii="Arial" w:hAnsi="Arial" w:cs="Arial"/>
          <w:sz w:val="20"/>
          <w:szCs w:val="20"/>
        </w:rPr>
        <w:t>(English)</w:t>
      </w:r>
      <w:r w:rsidRPr="00D9557E">
        <w:rPr>
          <w:rFonts w:ascii="Arial" w:hAnsi="Arial" w:cs="Arial"/>
          <w:sz w:val="20"/>
          <w:szCs w:val="20"/>
        </w:rPr>
        <w:t xml:space="preserve"> </w:t>
      </w:r>
    </w:p>
    <w:p w:rsidR="00D9557E" w:rsidRPr="00D9557E" w:rsidRDefault="00B24EB4" w:rsidP="00D9557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Series of Exercises</w:t>
      </w:r>
    </w:p>
    <w:p w:rsidR="002F18F6" w:rsidRDefault="00B24EB4">
      <w:bookmarkStart w:id="0" w:name="_GoBack"/>
      <w:bookmarkEnd w:id="0"/>
    </w:p>
    <w:sectPr w:rsidR="002F18F6" w:rsidSect="00442C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D43A0"/>
    <w:multiLevelType w:val="hybridMultilevel"/>
    <w:tmpl w:val="02388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18"/>
    <w:rsid w:val="002556D7"/>
    <w:rsid w:val="00442C18"/>
    <w:rsid w:val="005D2C39"/>
    <w:rsid w:val="00617E6C"/>
    <w:rsid w:val="007C0D9A"/>
    <w:rsid w:val="008D4C92"/>
    <w:rsid w:val="00AB0209"/>
    <w:rsid w:val="00B24EB4"/>
    <w:rsid w:val="00BC4D8F"/>
    <w:rsid w:val="00BD6C52"/>
    <w:rsid w:val="00BF018D"/>
    <w:rsid w:val="00CA1658"/>
    <w:rsid w:val="00CE1013"/>
    <w:rsid w:val="00D9557E"/>
    <w:rsid w:val="00DF26A9"/>
    <w:rsid w:val="00EA5620"/>
    <w:rsid w:val="00EE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306DF-740C-4E75-B15C-C618ACB0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2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5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14</cp:revision>
  <dcterms:created xsi:type="dcterms:W3CDTF">2017-05-08T16:38:00Z</dcterms:created>
  <dcterms:modified xsi:type="dcterms:W3CDTF">2017-05-10T15:36:00Z</dcterms:modified>
</cp:coreProperties>
</file>