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D1" w:rsidRPr="00035729" w:rsidRDefault="005175D1" w:rsidP="005175D1">
      <w:pPr>
        <w:spacing w:after="0"/>
        <w:rPr>
          <w:color w:val="00B050"/>
        </w:rPr>
      </w:pPr>
      <w:r w:rsidRPr="00035729">
        <w:rPr>
          <w:color w:val="00B050"/>
        </w:rPr>
        <w:t xml:space="preserve">Protection </w:t>
      </w:r>
      <w:r w:rsidR="00035729" w:rsidRPr="00035729">
        <w:rPr>
          <w:color w:val="00B050"/>
        </w:rPr>
        <w:t xml:space="preserve">Mainstreaming Checklist </w:t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</w:r>
      <w:r w:rsidR="00035729" w:rsidRPr="00035729">
        <w:rPr>
          <w:color w:val="00B050"/>
        </w:rPr>
        <w:tab/>
        <w:t>Kachin</w:t>
      </w:r>
      <w:r w:rsidRPr="00035729">
        <w:rPr>
          <w:color w:val="00B050"/>
        </w:rPr>
        <w:t xml:space="preserve"> State </w:t>
      </w:r>
    </w:p>
    <w:p w:rsidR="005175D1" w:rsidRPr="00035729" w:rsidRDefault="005175D1" w:rsidP="005175D1">
      <w:pPr>
        <w:spacing w:after="0"/>
        <w:rPr>
          <w:color w:val="00B050"/>
        </w:rPr>
      </w:pPr>
      <w:r w:rsidRPr="00035729">
        <w:rPr>
          <w:color w:val="00B050"/>
        </w:rPr>
        <w:t xml:space="preserve">May 2017 </w:t>
      </w:r>
      <w:r w:rsidRPr="00035729">
        <w:rPr>
          <w:color w:val="00B050"/>
        </w:rPr>
        <w:tab/>
      </w:r>
      <w:r w:rsidRPr="00035729">
        <w:rPr>
          <w:color w:val="00B050"/>
        </w:rPr>
        <w:tab/>
      </w:r>
      <w:r w:rsidRPr="00035729">
        <w:rPr>
          <w:color w:val="00B050"/>
        </w:rPr>
        <w:tab/>
      </w:r>
      <w:r w:rsidRPr="00035729">
        <w:rPr>
          <w:color w:val="00B050"/>
        </w:rPr>
        <w:tab/>
      </w:r>
      <w:r w:rsidRPr="00035729">
        <w:rPr>
          <w:color w:val="00B050"/>
        </w:rPr>
        <w:tab/>
      </w:r>
      <w:r w:rsidRPr="00035729">
        <w:rPr>
          <w:color w:val="00B050"/>
        </w:rPr>
        <w:tab/>
      </w:r>
    </w:p>
    <w:p w:rsidR="008C30C7" w:rsidRPr="008C30C7" w:rsidRDefault="008C30C7" w:rsidP="005175D1">
      <w:pPr>
        <w:spacing w:after="0"/>
        <w:jc w:val="center"/>
        <w:rPr>
          <w:rFonts w:asciiTheme="majorHAnsi" w:hAnsiTheme="majorHAnsi"/>
          <w:b/>
        </w:rPr>
      </w:pPr>
    </w:p>
    <w:p w:rsidR="00F65778" w:rsidRDefault="003C56A2" w:rsidP="005175D1">
      <w:pPr>
        <w:spacing w:after="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CCCM </w:t>
      </w:r>
      <w:r w:rsidR="005175D1" w:rsidRPr="005175D1">
        <w:rPr>
          <w:rFonts w:asciiTheme="majorHAnsi" w:hAnsiTheme="majorHAnsi"/>
          <w:b/>
          <w:sz w:val="56"/>
          <w:szCs w:val="56"/>
        </w:rPr>
        <w:t>CHECKLIST</w:t>
      </w:r>
    </w:p>
    <w:p w:rsidR="005175D1" w:rsidRDefault="005175D1" w:rsidP="008C30C7">
      <w:pPr>
        <w:spacing w:after="0"/>
        <w:rPr>
          <w:rFonts w:asciiTheme="majorHAnsi" w:hAnsiTheme="majorHAnsi"/>
          <w:b/>
        </w:rPr>
      </w:pPr>
    </w:p>
    <w:p w:rsidR="008C30C7" w:rsidRPr="005175D1" w:rsidRDefault="008C30C7" w:rsidP="008C30C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Safety and Dignity</w:t>
      </w:r>
    </w:p>
    <w:p w:rsidR="00AF7AD6" w:rsidRDefault="003371B0" w:rsidP="001755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camps </w:t>
      </w:r>
      <w:r w:rsidR="00035729">
        <w:t>meet standards for dis</w:t>
      </w:r>
      <w:r>
        <w:t xml:space="preserve">tance from conflict frontlines, and consider </w:t>
      </w:r>
      <w:r w:rsidR="00AF7AD6">
        <w:t>safety risks associated with natural hazards,</w:t>
      </w:r>
      <w:r w:rsidR="00E45AD5">
        <w:t xml:space="preserve"> violence (including GBV risks) and</w:t>
      </w:r>
      <w:r w:rsidR="00AF7AD6">
        <w:t xml:space="preserve"> landmines</w:t>
      </w:r>
      <w:r>
        <w:t xml:space="preserve">. </w:t>
      </w:r>
      <w:r w:rsidR="00E45AD5">
        <w:t xml:space="preserve"> </w:t>
      </w:r>
    </w:p>
    <w:p w:rsidR="003371B0" w:rsidRDefault="003371B0" w:rsidP="0003572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camps facilities are built and designed according to global shelter and camp standards. </w:t>
      </w:r>
    </w:p>
    <w:p w:rsidR="003371B0" w:rsidRDefault="003371B0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>
        <w:rPr>
          <w:b/>
        </w:rPr>
        <w:t>Meaningful Access</w:t>
      </w:r>
    </w:p>
    <w:p w:rsidR="000E3A9E" w:rsidRDefault="000E3A9E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</w:t>
      </w:r>
      <w:r w:rsidR="00E45AD5">
        <w:t xml:space="preserve">nsure that the design of the camp and services is accessible to everyone, including older persons and persons with disabilities. </w:t>
      </w:r>
    </w:p>
    <w:p w:rsidR="003371B0" w:rsidRDefault="003371B0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some land is available for new comers since the beginning of the camp set-up. </w:t>
      </w:r>
    </w:p>
    <w:p w:rsidR="005D3483" w:rsidRDefault="005D3483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that all groups have equal access to services (e.g. food distribution sites, WASH facilities, health centers, schools). </w:t>
      </w:r>
    </w:p>
    <w:p w:rsidR="00035729" w:rsidRDefault="00035729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that information about camp facilities and services is accessible to everyone, including persons with specific needs. </w:t>
      </w:r>
    </w:p>
    <w:p w:rsidR="005D3483" w:rsidRDefault="005D3483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Monitor ac</w:t>
      </w:r>
      <w:r w:rsidR="003371B0">
        <w:t>cess to services</w:t>
      </w:r>
      <w:r w:rsidR="002F2914">
        <w:t xml:space="preserve">, </w:t>
      </w:r>
      <w:r>
        <w:t>potential discrimination</w:t>
      </w:r>
      <w:r w:rsidR="002F2914">
        <w:t>, and whether any services are being diverted</w:t>
      </w:r>
      <w:r>
        <w:t xml:space="preserve">. </w:t>
      </w:r>
    </w:p>
    <w:p w:rsidR="008C30C7" w:rsidRDefault="008C30C7" w:rsidP="008C30C7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</w:p>
    <w:p w:rsidR="008C30C7" w:rsidRPr="00035729" w:rsidRDefault="008C30C7" w:rsidP="00035729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035729">
        <w:rPr>
          <w:b/>
        </w:rPr>
        <w:t>Participation</w:t>
      </w:r>
    </w:p>
    <w:p w:rsidR="005D3483" w:rsidRDefault="00035729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Make sure to consult </w:t>
      </w:r>
      <w:r w:rsidR="000E3A9E">
        <w:t xml:space="preserve">men, women, boys, girls, </w:t>
      </w:r>
      <w:r w:rsidR="005D3483">
        <w:t>older people</w:t>
      </w:r>
      <w:r w:rsidR="000E3A9E">
        <w:t xml:space="preserve">, </w:t>
      </w:r>
      <w:r>
        <w:t xml:space="preserve">and persons with disabilities during needs assessments and involved them in decision relating to their situation, such as the development of camp/site policy, management and site closure. </w:t>
      </w:r>
    </w:p>
    <w:p w:rsidR="00035729" w:rsidRDefault="00035729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a comprehensive registration system is in place (age, gender, place of origin, vulnerable groups).</w:t>
      </w:r>
    </w:p>
    <w:p w:rsidR="008C30C7" w:rsidRDefault="00367387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Establish gender-balanced and representative </w:t>
      </w:r>
      <w:r w:rsidR="00035729">
        <w:t>C</w:t>
      </w:r>
      <w:r w:rsidR="005D3483">
        <w:t>amp</w:t>
      </w:r>
      <w:r>
        <w:t xml:space="preserve"> </w:t>
      </w:r>
      <w:r w:rsidR="00035729">
        <w:t>Management C</w:t>
      </w:r>
      <w:r>
        <w:t>ommittees</w:t>
      </w:r>
      <w:r w:rsidR="00035729">
        <w:t xml:space="preserve"> (CMC), including displaced persons and host communities. </w:t>
      </w:r>
      <w:r>
        <w:t xml:space="preserve"> </w:t>
      </w:r>
    </w:p>
    <w:p w:rsidR="00035729" w:rsidRDefault="00035729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dis</w:t>
      </w:r>
      <w:r w:rsidR="003371B0">
        <w:t>placed populations are informed about</w:t>
      </w:r>
      <w:r>
        <w:t xml:space="preserve"> how the CMC makes decision on</w:t>
      </w:r>
      <w:r w:rsidR="003371B0">
        <w:t xml:space="preserve"> camps</w:t>
      </w:r>
      <w:r>
        <w:t xml:space="preserve"> issues</w:t>
      </w:r>
      <w:r w:rsidR="003371B0">
        <w:t xml:space="preserve">. </w:t>
      </w:r>
      <w:r>
        <w:t xml:space="preserve"> </w:t>
      </w:r>
    </w:p>
    <w:p w:rsidR="003371B0" w:rsidRDefault="003371B0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Ensure CMC organizes monthly coordination meeting</w:t>
      </w:r>
      <w:r w:rsidR="00C908C2">
        <w:t>s</w:t>
      </w:r>
      <w:r>
        <w:t xml:space="preserve"> with camp residents. </w:t>
      </w:r>
    </w:p>
    <w:p w:rsidR="003371B0" w:rsidRDefault="003371B0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>Ensur</w:t>
      </w:r>
      <w:r w:rsidR="00C908C2">
        <w:t>e CMC consults and gets the support</w:t>
      </w:r>
      <w:r>
        <w:t xml:space="preserve"> from Camp Management Agencies, NGOs, local authorities, and other humanitarian agencies. </w:t>
      </w:r>
    </w:p>
    <w:p w:rsidR="003371B0" w:rsidRPr="000E3A9E" w:rsidRDefault="003371B0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>
        <w:t xml:space="preserve">Ensure dedicated CCCM Focal Point for each camps. </w:t>
      </w:r>
    </w:p>
    <w:p w:rsidR="00367387" w:rsidRPr="00367387" w:rsidRDefault="00367387" w:rsidP="00035729">
      <w:pPr>
        <w:pStyle w:val="ListParagraph"/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</w:p>
    <w:p w:rsidR="008C30C7" w:rsidRPr="00035729" w:rsidRDefault="008C30C7" w:rsidP="00035729">
      <w:pPr>
        <w:autoSpaceDE w:val="0"/>
        <w:autoSpaceDN w:val="0"/>
        <w:adjustRightInd w:val="0"/>
        <w:spacing w:after="0" w:line="276" w:lineRule="auto"/>
        <w:ind w:right="-42"/>
        <w:jc w:val="both"/>
        <w:rPr>
          <w:b/>
        </w:rPr>
      </w:pPr>
      <w:r w:rsidRPr="00035729">
        <w:rPr>
          <w:b/>
        </w:rPr>
        <w:t>Accountability</w:t>
      </w:r>
    </w:p>
    <w:p w:rsidR="00A30634" w:rsidRPr="00035729" w:rsidRDefault="008C30C7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Set-up accessible and confidential feedback and complaints mechanisms. </w:t>
      </w:r>
    </w:p>
    <w:p w:rsidR="00035729" w:rsidRPr="00035729" w:rsidRDefault="00035729" w:rsidP="0003572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</w:pPr>
      <w:r w:rsidRPr="00035729">
        <w:t>Ensure that camp/site managers and coordinators ha</w:t>
      </w:r>
      <w:r>
        <w:t>v</w:t>
      </w:r>
      <w:r w:rsidRPr="00035729">
        <w:t>e signed a code of conduct stating their commitment</w:t>
      </w:r>
      <w:r>
        <w:t xml:space="preserve"> </w:t>
      </w:r>
      <w:r w:rsidRPr="00035729">
        <w:t>to respect and foster humanitarian standards and the rights of beneficiaries</w:t>
      </w:r>
      <w:r w:rsidR="00C908C2">
        <w:t>.</w:t>
      </w:r>
      <w:bookmarkStart w:id="0" w:name="_GoBack"/>
      <w:bookmarkEnd w:id="0"/>
    </w:p>
    <w:p w:rsidR="0066278C" w:rsidRPr="003371B0" w:rsidRDefault="008C30C7" w:rsidP="00445FA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 w:right="-42"/>
        <w:jc w:val="both"/>
        <w:rPr>
          <w:b/>
        </w:rPr>
      </w:pPr>
      <w:r>
        <w:t xml:space="preserve">Report and share protection concerns with the Protection sector, including the Child Protection and GBV sub-sectors. </w:t>
      </w:r>
    </w:p>
    <w:sectPr w:rsidR="0066278C" w:rsidRPr="00337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2D" w:rsidRDefault="0050332D" w:rsidP="003371B0">
      <w:pPr>
        <w:spacing w:after="0" w:line="240" w:lineRule="auto"/>
      </w:pPr>
      <w:r>
        <w:separator/>
      </w:r>
    </w:p>
  </w:endnote>
  <w:endnote w:type="continuationSeparator" w:id="0">
    <w:p w:rsidR="0050332D" w:rsidRDefault="0050332D" w:rsidP="0033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2D" w:rsidRDefault="0050332D" w:rsidP="003371B0">
      <w:pPr>
        <w:spacing w:after="0" w:line="240" w:lineRule="auto"/>
      </w:pPr>
      <w:r>
        <w:separator/>
      </w:r>
    </w:p>
  </w:footnote>
  <w:footnote w:type="continuationSeparator" w:id="0">
    <w:p w:rsidR="0050332D" w:rsidRDefault="0050332D" w:rsidP="00337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7B96"/>
    <w:multiLevelType w:val="hybridMultilevel"/>
    <w:tmpl w:val="0A469B1A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4DA3"/>
    <w:multiLevelType w:val="hybridMultilevel"/>
    <w:tmpl w:val="996C3B3E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781E"/>
    <w:multiLevelType w:val="hybridMultilevel"/>
    <w:tmpl w:val="B21A413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EFD"/>
    <w:multiLevelType w:val="hybridMultilevel"/>
    <w:tmpl w:val="78B2E6EC"/>
    <w:lvl w:ilvl="0" w:tplc="B1D853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30F81"/>
    <w:multiLevelType w:val="hybridMultilevel"/>
    <w:tmpl w:val="18D03E64"/>
    <w:lvl w:ilvl="0" w:tplc="801AFC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57245"/>
    <w:multiLevelType w:val="hybridMultilevel"/>
    <w:tmpl w:val="09B00C06"/>
    <w:lvl w:ilvl="0" w:tplc="86D2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D1"/>
    <w:rsid w:val="00035729"/>
    <w:rsid w:val="000E3A9E"/>
    <w:rsid w:val="00141E88"/>
    <w:rsid w:val="001C679F"/>
    <w:rsid w:val="002F2914"/>
    <w:rsid w:val="003371B0"/>
    <w:rsid w:val="003571EE"/>
    <w:rsid w:val="00367387"/>
    <w:rsid w:val="003C56A2"/>
    <w:rsid w:val="0050332D"/>
    <w:rsid w:val="005175D1"/>
    <w:rsid w:val="00531CC5"/>
    <w:rsid w:val="005D3483"/>
    <w:rsid w:val="0066278C"/>
    <w:rsid w:val="008C30C7"/>
    <w:rsid w:val="00A30634"/>
    <w:rsid w:val="00AF7AD6"/>
    <w:rsid w:val="00B70FE7"/>
    <w:rsid w:val="00BF018D"/>
    <w:rsid w:val="00C6302D"/>
    <w:rsid w:val="00C908C2"/>
    <w:rsid w:val="00DC740B"/>
    <w:rsid w:val="00DE39AA"/>
    <w:rsid w:val="00E45AD5"/>
    <w:rsid w:val="00EA5620"/>
    <w:rsid w:val="00EC596F"/>
    <w:rsid w:val="00ED23EF"/>
    <w:rsid w:val="00F65778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1F4B8-7FF0-48B4-8FCB-F778EC0B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5D1"/>
    <w:pPr>
      <w:ind w:left="720"/>
      <w:contextualSpacing/>
    </w:pPr>
  </w:style>
  <w:style w:type="table" w:styleId="TableGrid">
    <w:name w:val="Table Grid"/>
    <w:basedOn w:val="TableNormal"/>
    <w:uiPriority w:val="39"/>
    <w:rsid w:val="0066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7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1B0"/>
  </w:style>
  <w:style w:type="paragraph" w:styleId="Footer">
    <w:name w:val="footer"/>
    <w:basedOn w:val="Normal"/>
    <w:link w:val="FooterChar"/>
    <w:uiPriority w:val="99"/>
    <w:unhideWhenUsed/>
    <w:rsid w:val="00337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10</cp:revision>
  <dcterms:created xsi:type="dcterms:W3CDTF">2017-05-11T07:35:00Z</dcterms:created>
  <dcterms:modified xsi:type="dcterms:W3CDTF">2017-05-11T09:58:00Z</dcterms:modified>
</cp:coreProperties>
</file>