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#7  (14 November - 20 November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w:t>
            </w:r>
            <w:r w:rsidDel="00000000" w:rsidR="00000000" w:rsidRPr="00000000">
              <w:rPr>
                <w:rFonts w:ascii="Calibri" w:cs="Calibri" w:eastAsia="Calibri" w:hAnsi="Calibri"/>
                <w:b w:val="1"/>
                <w:sz w:val="20"/>
                <w:szCs w:val="20"/>
                <w:highlight w:val="white"/>
                <w:u w:val="single"/>
                <w:rtl w:val="0"/>
              </w:rPr>
              <w:t xml:space="preserve">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pageBreakBefore w:val="0"/>
              <w:widowControl w:val="0"/>
              <w:numPr>
                <w:ilvl w:val="0"/>
                <w:numId w:val="6"/>
              </w:numPr>
              <w:spacing w:before="16.326904296875" w:line="360" w:lineRule="auto"/>
              <w:ind w:left="720" w:right="58.460693359375"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WFP - Myanmar published Covid-19 situation report #12 on 16 November 2020. </w:t>
            </w:r>
            <w:r w:rsidDel="00000000" w:rsidR="00000000" w:rsidRPr="00000000">
              <w:rPr>
                <w:rFonts w:ascii="Calibri" w:cs="Calibri" w:eastAsia="Calibri" w:hAnsi="Calibri"/>
                <w:sz w:val="20"/>
                <w:szCs w:val="20"/>
                <w:highlight w:val="white"/>
                <w:rtl w:val="0"/>
              </w:rPr>
              <w:t xml:space="preserve">As a part of COVID response, WFP is providing cooked meals for some 2,000 people on a daily basis at a government-managed COVID-19 treatment centre, in South Dagon, one of Yangon’s poorest townships with a large number of informal settlements. </w:t>
            </w:r>
            <w:hyperlink r:id="rId6">
              <w:r w:rsidDel="00000000" w:rsidR="00000000" w:rsidRPr="00000000">
                <w:rPr>
                  <w:rFonts w:ascii="Calibri" w:cs="Calibri" w:eastAsia="Calibri" w:hAnsi="Calibri"/>
                  <w:color w:val="0000ff"/>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06">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08">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Published by the World Bank, </w:t>
            </w:r>
            <w:hyperlink r:id="rId7">
              <w:r w:rsidDel="00000000" w:rsidR="00000000" w:rsidRPr="00000000">
                <w:rPr>
                  <w:rFonts w:ascii="Calibri" w:cs="Calibri" w:eastAsia="Calibri" w:hAnsi="Calibri"/>
                  <w:color w:val="1155cc"/>
                  <w:sz w:val="20"/>
                  <w:szCs w:val="20"/>
                  <w:highlight w:val="white"/>
                  <w:u w:val="single"/>
                  <w:rtl w:val="0"/>
                </w:rPr>
                <w:t xml:space="preserve">Children on the Move - Progressive Redistribution of Humanitarian Cash Transfers among Refugees</w:t>
              </w:r>
            </w:hyperlink>
            <w:r w:rsidDel="00000000" w:rsidR="00000000" w:rsidRPr="00000000">
              <w:rPr>
                <w:rFonts w:ascii="Calibri" w:cs="Calibri" w:eastAsia="Calibri" w:hAnsi="Calibri"/>
                <w:color w:val="222222"/>
                <w:sz w:val="20"/>
                <w:szCs w:val="20"/>
                <w:highlight w:val="white"/>
                <w:rtl w:val="0"/>
              </w:rPr>
              <w:t xml:space="preserve">, evaluates the ESSN in Turkey (primarily using data collected pre-COVID-19 but including data from a “post-pandemic” panel survey) finds that the programme has rapidly caused substantial changes in household size and composition, with a net movement of primarily school-age children from larger ineligible households to smaller eligible ones. A sharp decline in inequality was observed within six months of programme rollout and the poverty headcount at the $3.20/day international poverty line declined by more than 50 percent after one year. The evaluation goes on to suggest that to strike the right balance between transfer size and coverage, key parameters in the design of any cash transfer programme, policy makers should consider the possibility that refugee populations may respond to their eligibility status by altering their household structure and living arrangements.</w:t>
            </w:r>
          </w:p>
          <w:p w:rsidR="00000000" w:rsidDel="00000000" w:rsidP="00000000" w:rsidRDefault="00000000" w:rsidRPr="00000000" w14:paraId="00000009">
            <w:pPr>
              <w:pageBreakBefore w:val="0"/>
              <w:widowControl w:val="0"/>
              <w:numPr>
                <w:ilvl w:val="0"/>
                <w:numId w:val="4"/>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CaLP published </w:t>
            </w:r>
            <w:r w:rsidDel="00000000" w:rsidR="00000000" w:rsidRPr="00000000">
              <w:rPr>
                <w:rFonts w:ascii="Calibri" w:cs="Calibri" w:eastAsia="Calibri" w:hAnsi="Calibri"/>
                <w:b w:val="1"/>
                <w:color w:val="222222"/>
                <w:sz w:val="20"/>
                <w:szCs w:val="20"/>
                <w:rtl w:val="0"/>
              </w:rPr>
              <w:t xml:space="preserve">State of the World’s Cash 2020</w:t>
            </w:r>
            <w:r w:rsidDel="00000000" w:rsidR="00000000" w:rsidRPr="00000000">
              <w:rPr>
                <w:rFonts w:ascii="Calibri" w:cs="Calibri" w:eastAsia="Calibri" w:hAnsi="Calibri"/>
                <w:color w:val="222222"/>
                <w:sz w:val="20"/>
                <w:szCs w:val="20"/>
                <w:rtl w:val="0"/>
              </w:rPr>
              <w:t xml:space="preserve"> which provides a comprehensive snapshot of cash and voucher assistance (CVA), with significant recommendations for anyone interested in humanitarian action. This report follows on from the first report, a seminal piece, published in 2018. Since then CVA has continued to grow and is now a major part of almost every humanitarian response.  The total amount of CVA has doubled since 2016, from $2.8 Bn to $5.6Bn in 2019 and it is an increasingly important tool in the humanitarian toolbox. CVA continues to save lives and livelihoods, and to challenge humanitarian actors to think differently and deliver better. But barriers to greater effectiveness and accountability remain. </w:t>
            </w:r>
            <w:r w:rsidDel="00000000" w:rsidR="00000000" w:rsidRPr="00000000">
              <w:rPr>
                <w:rFonts w:ascii="Calibri" w:cs="Calibri" w:eastAsia="Calibri" w:hAnsi="Calibri"/>
                <w:b w:val="1"/>
                <w:color w:val="222222"/>
                <w:sz w:val="20"/>
                <w:szCs w:val="20"/>
                <w:rtl w:val="0"/>
              </w:rPr>
              <w:t xml:space="preserve">Read the report </w:t>
            </w:r>
            <w:hyperlink r:id="rId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color w:val="222222"/>
                <w:sz w:val="20"/>
                <w:szCs w:val="20"/>
                <w:rtl w:val="0"/>
              </w:rPr>
              <w:t xml:space="preserve">.</w:t>
            </w:r>
            <w:r w:rsidDel="00000000" w:rsidR="00000000" w:rsidRPr="00000000">
              <w:rPr>
                <w:rtl w:val="0"/>
              </w:rPr>
            </w:r>
          </w:p>
          <w:p w:rsidR="00000000" w:rsidDel="00000000" w:rsidP="00000000" w:rsidRDefault="00000000" w:rsidRPr="00000000" w14:paraId="0000000A">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0B">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Cash Hub, working with the Asia-Pacific Region Cash Coordinator IFRC, has been drafting some interim guidance for PDMs focusing more on outcome Indicators pulling from the Grand Bargain Outcome Indicators 2019 pilot document. The interim document is draft, but may be of interest to those developing PDMs in relation to unconditional cash. It can be viewed </w:t>
            </w:r>
            <w:hyperlink r:id="rId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D">
            <w:pPr>
              <w:pStyle w:val="Heading1"/>
              <w:keepNext w:val="0"/>
              <w:keepLines w:val="0"/>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88" w:lineRule="auto"/>
              <w:ind w:left="720" w:hanging="360"/>
              <w:jc w:val="both"/>
              <w:rPr>
                <w:b w:val="1"/>
                <w:highlight w:val="white"/>
              </w:rPr>
            </w:pPr>
            <w:bookmarkStart w:colFirst="0" w:colLast="0" w:name="_w8n2b4h0o2rd" w:id="0"/>
            <w:bookmarkEnd w:id="0"/>
            <w:r w:rsidDel="00000000" w:rsidR="00000000" w:rsidRPr="00000000">
              <w:rPr>
                <w:rFonts w:ascii="Calibri" w:cs="Calibri" w:eastAsia="Calibri" w:hAnsi="Calibri"/>
                <w:color w:val="444444"/>
                <w:sz w:val="20"/>
                <w:szCs w:val="20"/>
                <w:highlight w:val="white"/>
                <w:rtl w:val="0"/>
              </w:rPr>
              <w:t xml:space="preserve">ပုံမှန်ဝင်ငွေမရှိတဲ့ အခြေခံလူတန်းစား၊ ဝင်ငွေနည်းပြည်သူတွေအတွက် အစိုးရရဲ့ စတုတ္ထအကြိမ်မြောက် ထောက်ပံ့မှုမှာ အိမ်ထောင်စုပေါင်း ၆ ဒသမ ၁ သန်းလောက်အတွက် ကျပ်ငွေ ၁၆၄ ဘီလီယံအသုံးပြုသွားမယ်လို့ သမ္မတရုံးပြောရေးဆိုခွင့်ရှိသူ ဦးဇော်ဌေးက ပြောပါတယ်။ </w:t>
            </w:r>
            <w:r w:rsidDel="00000000" w:rsidR="00000000" w:rsidRPr="00000000">
              <w:rPr>
                <w:rFonts w:ascii="Calibri" w:cs="Calibri" w:eastAsia="Calibri" w:hAnsi="Calibri"/>
                <w:color w:val="242423"/>
                <w:sz w:val="20"/>
                <w:szCs w:val="20"/>
                <w:rtl w:val="0"/>
              </w:rPr>
              <w:t xml:space="preserve">Myanmar’s government says it will provide a fourth round of cash handouts for those struggling because of COVID-19. </w:t>
            </w:r>
            <w:hyperlink r:id="rId10">
              <w:r w:rsidDel="00000000" w:rsidR="00000000" w:rsidRPr="00000000">
                <w:rPr>
                  <w:rFonts w:ascii="Calibri" w:cs="Calibri" w:eastAsia="Calibri" w:hAnsi="Calibri"/>
                  <w:color w:val="1155cc"/>
                  <w:sz w:val="20"/>
                  <w:szCs w:val="20"/>
                  <w:u w:val="single"/>
                  <w:rtl w:val="0"/>
                </w:rPr>
                <w:t xml:space="preserve"> Link here</w:t>
              </w:r>
            </w:hyperlink>
            <w:r w:rsidDel="00000000" w:rsidR="00000000" w:rsidRPr="00000000">
              <w:rPr>
                <w:rtl w:val="0"/>
              </w:rPr>
            </w:r>
          </w:p>
          <w:p w:rsidR="00000000" w:rsidDel="00000000" w:rsidP="00000000" w:rsidRDefault="00000000" w:rsidRPr="00000000" w14:paraId="0000000E">
            <w:pPr>
              <w:pStyle w:val="Heading2"/>
              <w:keepNext w:val="0"/>
              <w:keepLines w:val="0"/>
              <w:pageBreakBefore w:val="0"/>
              <w:numPr>
                <w:ilvl w:val="0"/>
                <w:numId w:val="3"/>
              </w:numPr>
              <w:shd w:fill="ffffff" w:val="clear"/>
              <w:spacing w:after="0" w:afterAutospacing="0" w:before="0" w:line="288" w:lineRule="auto"/>
              <w:ind w:left="720" w:hanging="360"/>
              <w:jc w:val="both"/>
              <w:rPr>
                <w:u w:val="none"/>
              </w:rPr>
            </w:pPr>
            <w:bookmarkStart w:colFirst="0" w:colLast="0" w:name="_7vy74ilwxxcr" w:id="1"/>
            <w:bookmarkEnd w:id="1"/>
            <w:r w:rsidDel="00000000" w:rsidR="00000000" w:rsidRPr="00000000">
              <w:rPr>
                <w:rFonts w:ascii="Calibri" w:cs="Calibri" w:eastAsia="Calibri" w:hAnsi="Calibri"/>
                <w:color w:val="050505"/>
                <w:sz w:val="20"/>
                <w:szCs w:val="20"/>
                <w:highlight w:val="white"/>
                <w:rtl w:val="0"/>
              </w:rPr>
              <w:t xml:space="preserve">ကိုရိုနာဗိုင်းရပ်စ်၏ ခြောက်လှန့်မှုများကြားမှ ဂျပန်ကျွမ်းကျင်ပညာရှင်များ၊ မြန်မာနိုင်ငံဘက်မှ ဗဟိုဘဏ်နှင့် ပြည်တွင်း/ပြည်ပဘဏ်များမှတာ၀န်ရှိသူများ၏ လုံံ့လ၀ီရိယအပြည့်ဖြင့် ပူးပေါင်းဆောင်ရွက်ခဲ့မှုတို့‌ကြောင့် ဗဟိုဘဏ်၏ ငွေ‌ပေးချေမှုကွန်ယက်စနစ်-၂ (CBM-Net2)ကို ၂၀၂၀ ခုနစ် နို၀င်ဘာလ (၁၆)ရက်နေ့ တွင် အောင်မြင်စွာ စတင်မိတ်ဆက်နိုင်ခဲ့ပြီ ဖြစ်ပါသ</w:t>
            </w:r>
            <w:r w:rsidDel="00000000" w:rsidR="00000000" w:rsidRPr="00000000">
              <w:rPr>
                <w:color w:val="050505"/>
                <w:sz w:val="23"/>
                <w:szCs w:val="23"/>
                <w:highlight w:val="white"/>
                <w:rtl w:val="0"/>
              </w:rPr>
              <w:t xml:space="preserve">ည်။ </w:t>
            </w:r>
            <w:r w:rsidDel="00000000" w:rsidR="00000000" w:rsidRPr="00000000">
              <w:rPr>
                <w:rFonts w:ascii="Calibri" w:cs="Calibri" w:eastAsia="Calibri" w:hAnsi="Calibri"/>
                <w:b w:val="1"/>
                <w:color w:val="444444"/>
                <w:sz w:val="20"/>
                <w:szCs w:val="20"/>
                <w:rtl w:val="0"/>
              </w:rPr>
              <w:t xml:space="preserve">Central Bank of Myanmar (CBM) launches New Payment and Settlement System (CBM-NET2):</w:t>
            </w:r>
            <w:r w:rsidDel="00000000" w:rsidR="00000000" w:rsidRPr="00000000">
              <w:rPr>
                <w:rFonts w:ascii="Calibri" w:cs="Calibri" w:eastAsia="Calibri" w:hAnsi="Calibri"/>
                <w:color w:val="444444"/>
                <w:sz w:val="20"/>
                <w:szCs w:val="20"/>
                <w:rtl w:val="0"/>
              </w:rPr>
              <w:t xml:space="preserve"> </w:t>
            </w:r>
            <w:r w:rsidDel="00000000" w:rsidR="00000000" w:rsidRPr="00000000">
              <w:rPr>
                <w:rFonts w:ascii="Calibri" w:cs="Calibri" w:eastAsia="Calibri" w:hAnsi="Calibri"/>
                <w:color w:val="212529"/>
                <w:sz w:val="20"/>
                <w:szCs w:val="20"/>
                <w:highlight w:val="white"/>
                <w:rtl w:val="0"/>
              </w:rPr>
              <w:t xml:space="preserve">Japan International Cooperation Agency (JICA) supported to implement CBM-NET, a secure and efficient payment and settlement infrastructure, in January 2016, and contributed to the development and computerization of the financial and banking sector.</w:t>
            </w:r>
            <w:r w:rsidDel="00000000" w:rsidR="00000000" w:rsidRPr="00000000">
              <w:rPr>
                <w:color w:val="050505"/>
                <w:sz w:val="23"/>
                <w:szCs w:val="23"/>
                <w:highlight w:val="white"/>
                <w:rtl w:val="0"/>
              </w:rPr>
              <w:t xml:space="preserve"> </w:t>
            </w:r>
            <w:hyperlink r:id="rId11">
              <w:r w:rsidDel="00000000" w:rsidR="00000000" w:rsidRPr="00000000">
                <w:rPr>
                  <w:rFonts w:ascii="Calibri" w:cs="Calibri" w:eastAsia="Calibri" w:hAnsi="Calibri"/>
                  <w:color w:val="1155cc"/>
                  <w:sz w:val="20"/>
                  <w:szCs w:val="20"/>
                  <w:highlight w:val="white"/>
                  <w:u w:val="single"/>
                  <w:rtl w:val="0"/>
                </w:rPr>
                <w:t xml:space="preserve">For english: Global News Light of Myanmar</w:t>
              </w:r>
            </w:hyperlink>
            <w:r w:rsidDel="00000000" w:rsidR="00000000" w:rsidRPr="00000000">
              <w:rPr>
                <w:rFonts w:ascii="Calibri" w:cs="Calibri" w:eastAsia="Calibri" w:hAnsi="Calibri"/>
                <w:color w:val="212529"/>
                <w:sz w:val="20"/>
                <w:szCs w:val="20"/>
                <w:highlight w:val="white"/>
                <w:rtl w:val="0"/>
              </w:rPr>
              <w:t xml:space="preserve">; </w:t>
            </w:r>
            <w:hyperlink r:id="rId12">
              <w:r w:rsidDel="00000000" w:rsidR="00000000" w:rsidRPr="00000000">
                <w:rPr>
                  <w:rFonts w:ascii="Calibri" w:cs="Calibri" w:eastAsia="Calibri" w:hAnsi="Calibri"/>
                  <w:color w:val="1155cc"/>
                  <w:sz w:val="20"/>
                  <w:szCs w:val="20"/>
                  <w:highlight w:val="white"/>
                  <w:u w:val="single"/>
                  <w:rtl w:val="0"/>
                </w:rPr>
                <w:t xml:space="preserve">For burmese: JICA Facebook</w:t>
              </w:r>
            </w:hyperlink>
            <w:r w:rsidDel="00000000" w:rsidR="00000000" w:rsidRPr="00000000">
              <w:rPr>
                <w:rtl w:val="0"/>
              </w:rPr>
            </w:r>
          </w:p>
          <w:p w:rsidR="00000000" w:rsidDel="00000000" w:rsidP="00000000" w:rsidRDefault="00000000" w:rsidRPr="00000000" w14:paraId="0000000F">
            <w:pPr>
              <w:pageBreakBefore w:val="0"/>
              <w:numPr>
                <w:ilvl w:val="0"/>
                <w:numId w:val="3"/>
              </w:numPr>
              <w:spacing w:after="0" w:before="0" w:line="308.5714285714286" w:lineRule="auto"/>
              <w:ind w:left="720" w:hanging="360"/>
              <w:jc w:val="both"/>
              <w:rPr/>
            </w:pPr>
            <w:r w:rsidDel="00000000" w:rsidR="00000000" w:rsidRPr="00000000">
              <w:rPr>
                <w:rFonts w:ascii="Calibri" w:cs="Calibri" w:eastAsia="Calibri" w:hAnsi="Calibri"/>
                <w:color w:val="202124"/>
                <w:sz w:val="20"/>
                <w:szCs w:val="20"/>
                <w:rtl w:val="0"/>
              </w:rPr>
              <w:t xml:space="preserve">ဧ</w:t>
            </w:r>
            <w:r w:rsidDel="00000000" w:rsidR="00000000" w:rsidRPr="00000000">
              <w:rPr>
                <w:rFonts w:ascii="Calibri" w:cs="Calibri" w:eastAsia="Calibri" w:hAnsi="Calibri"/>
                <w:color w:val="202124"/>
                <w:sz w:val="20"/>
                <w:szCs w:val="20"/>
                <w:rtl w:val="0"/>
              </w:rPr>
              <w:t xml:space="preserve">ရာ၀တီမြစ်ကမ်းပါးပြိုကျသူများအားငွေကြေးအထောက်အပံ့များပေးအပ်ခြင်း - </w:t>
            </w:r>
            <w:r w:rsidDel="00000000" w:rsidR="00000000" w:rsidRPr="00000000">
              <w:rPr>
                <w:rFonts w:ascii="Calibri" w:cs="Calibri" w:eastAsia="Calibri" w:hAnsi="Calibri"/>
                <w:color w:val="212529"/>
                <w:sz w:val="20"/>
                <w:szCs w:val="20"/>
                <w:highlight w:val="white"/>
                <w:rtl w:val="0"/>
              </w:rPr>
              <w:t xml:space="preserve">At about 6:30 pm on 14 November, the riverbank collapsed in the villages in Magway Region. The collapse was caused by water erosion of the Ayeyawady River. Each household of the 36 households_30 households from Paukkone, five from Kyaung Zu, and one from Zee Kyun_was given K100,000. So, the total cash assistance is K3.6 million. The Chief Minister and his entourage also gave the victims food. Here is a </w:t>
            </w:r>
            <w:hyperlink r:id="rId13">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4">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2">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15">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3">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w:t>
            </w:r>
            <w:r w:rsidDel="00000000" w:rsidR="00000000" w:rsidRPr="00000000">
              <w:rPr>
                <w:rFonts w:ascii="Calibri" w:cs="Calibri" w:eastAsia="Calibri" w:hAnsi="Calibri"/>
                <w:color w:val="222222"/>
                <w:sz w:val="20"/>
                <w:szCs w:val="20"/>
                <w:highlight w:val="white"/>
                <w:rtl w:val="0"/>
              </w:rPr>
              <w:t xml:space="preserve">shares with actors responding to ETA that OCHA has integrated CVA into the 345Ws. Click </w:t>
            </w:r>
            <w:hyperlink r:id="rId1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register and upload information to the dashboards and </w:t>
            </w:r>
            <w:hyperlink r:id="rId1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view dashboards on </w:t>
            </w:r>
            <w:hyperlink r:id="rId18">
              <w:r w:rsidDel="00000000" w:rsidR="00000000" w:rsidRPr="00000000">
                <w:rPr>
                  <w:rFonts w:ascii="Calibri" w:cs="Calibri" w:eastAsia="Calibri" w:hAnsi="Calibri"/>
                  <w:color w:val="1155cc"/>
                  <w:sz w:val="20"/>
                  <w:szCs w:val="20"/>
                  <w:highlight w:val="white"/>
                  <w:u w:val="single"/>
                  <w:rtl w:val="0"/>
                </w:rPr>
                <w:t xml:space="preserve">humanitarianresponse.info</w:t>
              </w:r>
            </w:hyperlink>
            <w:r w:rsidDel="00000000" w:rsidR="00000000" w:rsidRPr="00000000">
              <w:rPr>
                <w:rFonts w:ascii="Calibri" w:cs="Calibri" w:eastAsia="Calibri" w:hAnsi="Calibri"/>
                <w:color w:val="222222"/>
                <w:sz w:val="20"/>
                <w:szCs w:val="20"/>
                <w:highlight w:val="white"/>
                <w:rtl w:val="0"/>
              </w:rPr>
              <w:t xml:space="preserve">. 345Ws are an important coordination tools to share information about activities by sectors that are being implemented in the field.</w:t>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5">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19">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we’d be grateful if you could complete our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20">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p>
          <w:p w:rsidR="00000000" w:rsidDel="00000000" w:rsidP="00000000" w:rsidRDefault="00000000" w:rsidRPr="00000000" w14:paraId="00000016">
            <w:pPr>
              <w:pageBreakBefore w:val="0"/>
              <w:widowControl w:val="0"/>
              <w:numPr>
                <w:ilvl w:val="0"/>
                <w:numId w:val="7"/>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u w:val="single"/>
                <w:rtl w:val="0"/>
              </w:rPr>
              <w:t xml:space="preserve">Key Aid Counselling</w:t>
            </w:r>
            <w:r w:rsidDel="00000000" w:rsidR="00000000" w:rsidRPr="00000000">
              <w:rPr>
                <w:rFonts w:ascii="Calibri" w:cs="Calibri" w:eastAsia="Calibri" w:hAnsi="Calibri"/>
                <w:color w:val="222222"/>
                <w:sz w:val="20"/>
                <w:szCs w:val="20"/>
                <w:highlight w:val="white"/>
                <w:rtl w:val="0"/>
              </w:rPr>
              <w:t xml:space="preserve"> has developed a short online survey (10-15 minutes) </w:t>
            </w:r>
            <w:r w:rsidDel="00000000" w:rsidR="00000000" w:rsidRPr="00000000">
              <w:rPr>
                <w:rFonts w:ascii="Calibri" w:cs="Calibri" w:eastAsia="Calibri" w:hAnsi="Calibri"/>
                <w:color w:val="202124"/>
                <w:sz w:val="20"/>
                <w:szCs w:val="20"/>
                <w:highlight w:val="white"/>
                <w:rtl w:val="0"/>
              </w:rPr>
              <w:t xml:space="preserve">on cash grants for groups / community cash</w:t>
            </w:r>
            <w:r w:rsidDel="00000000" w:rsidR="00000000" w:rsidRPr="00000000">
              <w:rPr>
                <w:rFonts w:ascii="Calibri" w:cs="Calibri" w:eastAsia="Calibri" w:hAnsi="Calibri"/>
                <w:color w:val="222222"/>
                <w:sz w:val="20"/>
                <w:szCs w:val="20"/>
                <w:highlight w:val="white"/>
                <w:rtl w:val="0"/>
              </w:rPr>
              <w:t xml:space="preserve">; The survey can be accessed here (until 25</w:t>
            </w:r>
            <w:r w:rsidDel="00000000" w:rsidR="00000000" w:rsidRPr="00000000">
              <w:rPr>
                <w:rFonts w:ascii="Calibri" w:cs="Calibri" w:eastAsia="Calibri" w:hAnsi="Calibri"/>
                <w:color w:val="222222"/>
                <w:sz w:val="20"/>
                <w:szCs w:val="20"/>
                <w:highlight w:val="white"/>
                <w:vertAlign w:val="superscript"/>
                <w:rtl w:val="0"/>
              </w:rPr>
              <w:t xml:space="preserve">th</w:t>
            </w:r>
            <w:r w:rsidDel="00000000" w:rsidR="00000000" w:rsidRPr="00000000">
              <w:rPr>
                <w:rFonts w:ascii="Calibri" w:cs="Calibri" w:eastAsia="Calibri" w:hAnsi="Calibri"/>
                <w:color w:val="222222"/>
                <w:sz w:val="20"/>
                <w:szCs w:val="20"/>
                <w:highlight w:val="white"/>
                <w:rtl w:val="0"/>
              </w:rPr>
              <w:t xml:space="preserve"> of November 2020): </w:t>
            </w:r>
            <w:hyperlink r:id="rId21">
              <w:r w:rsidDel="00000000" w:rsidR="00000000" w:rsidRPr="00000000">
                <w:rPr>
                  <w:rFonts w:ascii="Calibri" w:cs="Calibri" w:eastAsia="Calibri" w:hAnsi="Calibri"/>
                  <w:color w:val="0563c1"/>
                  <w:sz w:val="20"/>
                  <w:szCs w:val="20"/>
                  <w:highlight w:val="white"/>
                  <w:u w:val="single"/>
                  <w:rtl w:val="0"/>
                </w:rPr>
                <w:t xml:space="preserve">https://ee.humanitarianresponse.info/x/wm5MnR75</w:t>
              </w:r>
            </w:hyperlink>
            <w:r w:rsidDel="00000000" w:rsidR="00000000" w:rsidRPr="00000000">
              <w:rPr>
                <w:rFonts w:ascii="Calibri" w:cs="Calibri" w:eastAsia="Calibri" w:hAnsi="Calibri"/>
                <w:color w:val="222222"/>
                <w:sz w:val="20"/>
                <w:szCs w:val="20"/>
                <w:highlight w:val="white"/>
                <w:rtl w:val="0"/>
              </w:rPr>
              <w:t xml:space="preserve">. The data feed into the development of guidelines and tools on group cash grants to be part of the CVA toolbox.</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9">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The last of CaLP’s five webinars was about “Identifying the trigger points for MEB review and update: a peer-to-peer learning conversation” – </w:t>
            </w:r>
            <w:hyperlink r:id="rId22">
              <w:r w:rsidDel="00000000" w:rsidR="00000000" w:rsidRPr="00000000">
                <w:rPr>
                  <w:rFonts w:ascii="Calibri" w:cs="Calibri" w:eastAsia="Calibri" w:hAnsi="Calibri"/>
                  <w:color w:val="c91619"/>
                  <w:sz w:val="20"/>
                  <w:szCs w:val="20"/>
                  <w:highlight w:val="white"/>
                  <w:rtl w:val="0"/>
                </w:rPr>
                <w:t xml:space="preserve">Recording available here</w:t>
              </w:r>
            </w:hyperlink>
            <w:r w:rsidDel="00000000" w:rsidR="00000000" w:rsidRPr="00000000">
              <w:rPr>
                <w:rFonts w:ascii="Calibri" w:cs="Calibri" w:eastAsia="Calibri" w:hAnsi="Calibri"/>
                <w:color w:val="3c4043"/>
                <w:sz w:val="20"/>
                <w:szCs w:val="20"/>
                <w:highlight w:val="white"/>
                <w:rtl w:val="0"/>
              </w:rPr>
              <w:t xml:space="preserve"> </w:t>
            </w:r>
          </w:p>
          <w:p w:rsidR="00000000" w:rsidDel="00000000" w:rsidP="00000000" w:rsidRDefault="00000000" w:rsidRPr="00000000" w14:paraId="0000001A">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u w:val="none"/>
              </w:rPr>
            </w:pPr>
            <w:r w:rsidDel="00000000" w:rsidR="00000000" w:rsidRPr="00000000">
              <w:rPr>
                <w:rFonts w:ascii="Calibri" w:cs="Calibri" w:eastAsia="Calibri" w:hAnsi="Calibri"/>
                <w:color w:val="3c4043"/>
                <w:sz w:val="20"/>
                <w:szCs w:val="20"/>
                <w:highlight w:val="white"/>
                <w:rtl w:val="0"/>
              </w:rPr>
              <w:t xml:space="preserve">CashHub webinar 14 - on monitoring in relation to Cash and Voucher Assistance (CVA) with a focus on outcome indicators, expenditure monitoring, recent work on well-being indicators, and remote focus group discussions (FGDs) was held on November 4, 2020. </w:t>
            </w:r>
            <w:r w:rsidDel="00000000" w:rsidR="00000000" w:rsidRPr="00000000">
              <w:rPr>
                <w:rFonts w:ascii="Calibri" w:cs="Calibri" w:eastAsia="Calibri" w:hAnsi="Calibri"/>
                <w:color w:val="222222"/>
                <w:sz w:val="20"/>
                <w:szCs w:val="20"/>
                <w:highlight w:val="white"/>
                <w:rtl w:val="0"/>
              </w:rPr>
              <w:t xml:space="preserve">The recording of the Webinar is </w:t>
            </w:r>
            <w:hyperlink r:id="rId2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slides for the Webinar are </w:t>
            </w:r>
            <w:hyperlink r:id="rId2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summary takeaways are attached.  Further information from Turkish Red Crescent on remote FGDs is </w:t>
            </w:r>
            <w:hyperlink r:id="rId2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B">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26">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27">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28">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r w:rsidDel="00000000" w:rsidR="00000000" w:rsidRPr="00000000">
              <w:rPr>
                <w:rtl w:val="0"/>
              </w:rPr>
            </w:r>
          </w:p>
          <w:p w:rsidR="00000000" w:rsidDel="00000000" w:rsidP="00000000" w:rsidRDefault="00000000" w:rsidRPr="00000000" w14:paraId="0000001C">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r w:rsidDel="00000000" w:rsidR="00000000" w:rsidRPr="00000000">
              <w:rPr>
                <w:rtl w:val="0"/>
              </w:rPr>
            </w:r>
          </w:p>
          <w:p w:rsidR="00000000" w:rsidDel="00000000" w:rsidP="00000000" w:rsidRDefault="00000000" w:rsidRPr="00000000" w14:paraId="0000001D">
            <w:pPr>
              <w:pageBreakBefore w:val="0"/>
              <w:widowControl w:val="0"/>
              <w:numPr>
                <w:ilvl w:val="0"/>
                <w:numId w:val="2"/>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w:t>
            </w:r>
            <w:hyperlink r:id="rId29">
              <w:r w:rsidDel="00000000" w:rsidR="00000000" w:rsidRPr="00000000">
                <w:rPr>
                  <w:rFonts w:ascii="Calibri" w:cs="Calibri" w:eastAsia="Calibri" w:hAnsi="Calibri"/>
                  <w:color w:val="1155cc"/>
                  <w:sz w:val="20"/>
                  <w:szCs w:val="20"/>
                  <w:highlight w:val="white"/>
                  <w:u w:val="single"/>
                  <w:rtl w:val="0"/>
                </w:rPr>
                <w:t xml:space="preserve">Global WASH Cluster,</w:t>
              </w:r>
            </w:hyperlink>
            <w:r w:rsidDel="00000000" w:rsidR="00000000" w:rsidRPr="00000000">
              <w:rPr>
                <w:rFonts w:ascii="Calibri" w:cs="Calibri" w:eastAsia="Calibri" w:hAnsi="Calibri"/>
                <w:color w:val="222222"/>
                <w:sz w:val="20"/>
                <w:szCs w:val="20"/>
                <w:highlight w:val="white"/>
                <w:rtl w:val="0"/>
              </w:rPr>
              <w:t xml:space="preserve"> </w:t>
            </w:r>
            <w:hyperlink r:id="rId30">
              <w:r w:rsidDel="00000000" w:rsidR="00000000" w:rsidRPr="00000000">
                <w:rPr>
                  <w:rFonts w:ascii="Calibri" w:cs="Calibri" w:eastAsia="Calibri" w:hAnsi="Calibri"/>
                  <w:color w:val="1155cc"/>
                  <w:sz w:val="20"/>
                  <w:szCs w:val="20"/>
                  <w:highlight w:val="white"/>
                  <w:u w:val="single"/>
                  <w:rtl w:val="0"/>
                </w:rPr>
                <w:t xml:space="preserve">PRO-WASH</w:t>
              </w:r>
            </w:hyperlink>
            <w:r w:rsidDel="00000000" w:rsidR="00000000" w:rsidRPr="00000000">
              <w:rPr>
                <w:rFonts w:ascii="Calibri" w:cs="Calibri" w:eastAsia="Calibri" w:hAnsi="Calibri"/>
                <w:color w:val="222222"/>
                <w:sz w:val="20"/>
                <w:szCs w:val="20"/>
                <w:highlight w:val="white"/>
                <w:rtl w:val="0"/>
              </w:rPr>
              <w:t xml:space="preserve"> and </w:t>
            </w:r>
            <w:hyperlink r:id="rId31">
              <w:r w:rsidDel="00000000" w:rsidR="00000000" w:rsidRPr="00000000">
                <w:rPr>
                  <w:rFonts w:ascii="Calibri" w:cs="Calibri" w:eastAsia="Calibri" w:hAnsi="Calibri"/>
                  <w:color w:val="1155cc"/>
                  <w:sz w:val="20"/>
                  <w:szCs w:val="20"/>
                  <w:highlight w:val="white"/>
                  <w:u w:val="single"/>
                  <w:rtl w:val="0"/>
                </w:rPr>
                <w:t xml:space="preserve">CaLP</w:t>
              </w:r>
            </w:hyperlink>
            <w:r w:rsidDel="00000000" w:rsidR="00000000" w:rsidRPr="00000000">
              <w:rPr>
                <w:rFonts w:ascii="Calibri" w:cs="Calibri" w:eastAsia="Calibri" w:hAnsi="Calibri"/>
                <w:color w:val="222222"/>
                <w:sz w:val="20"/>
                <w:szCs w:val="20"/>
                <w:highlight w:val="white"/>
                <w:rtl w:val="0"/>
              </w:rPr>
              <w:t xml:space="preserve"> are organizing an upcoming webinar on the </w:t>
            </w:r>
            <w:r w:rsidDel="00000000" w:rsidR="00000000" w:rsidRPr="00000000">
              <w:rPr>
                <w:rFonts w:ascii="Calibri" w:cs="Calibri" w:eastAsia="Calibri" w:hAnsi="Calibri"/>
                <w:b w:val="1"/>
                <w:i w:val="1"/>
                <w:color w:val="222222"/>
                <w:sz w:val="20"/>
                <w:szCs w:val="20"/>
                <w:highlight w:val="white"/>
                <w:rtl w:val="0"/>
              </w:rPr>
              <w:t xml:space="preserve">Effectiveness of  cash, vouchers and market support activities in achieving WASH Outcomes</w:t>
            </w:r>
            <w:r w:rsidDel="00000000" w:rsidR="00000000" w:rsidRPr="00000000">
              <w:rPr>
                <w:rFonts w:ascii="Calibri" w:cs="Calibri" w:eastAsia="Calibri" w:hAnsi="Calibri"/>
                <w:color w:val="222222"/>
                <w:sz w:val="20"/>
                <w:szCs w:val="20"/>
                <w:highlight w:val="white"/>
                <w:rtl w:val="0"/>
              </w:rPr>
              <w:t xml:space="preserve">. The webinar will take place on: </w:t>
            </w:r>
            <w:r w:rsidDel="00000000" w:rsidR="00000000" w:rsidRPr="00000000">
              <w:rPr>
                <w:rFonts w:ascii="Calibri" w:cs="Calibri" w:eastAsia="Calibri" w:hAnsi="Calibri"/>
                <w:b w:val="1"/>
                <w:color w:val="222222"/>
                <w:sz w:val="20"/>
                <w:szCs w:val="20"/>
                <w:highlight w:val="white"/>
                <w:rtl w:val="0"/>
              </w:rPr>
              <w:t xml:space="preserve">Tuesday, December 8th at 9 a.m. Eastern Time (US) / 3 p.m. Paris</w:t>
            </w:r>
            <w:r w:rsidDel="00000000" w:rsidR="00000000" w:rsidRPr="00000000">
              <w:rPr>
                <w:rFonts w:ascii="Calibri" w:cs="Calibri" w:eastAsia="Calibri" w:hAnsi="Calibri"/>
                <w:color w:val="222222"/>
                <w:sz w:val="20"/>
                <w:szCs w:val="20"/>
                <w:highlight w:val="white"/>
                <w:rtl w:val="0"/>
              </w:rPr>
              <w:t xml:space="preserve">. This webinar will be held in English with simultaneous interpretation in French, Arabic and Spanish. More details and registration  here: </w:t>
            </w:r>
            <w:hyperlink r:id="rId32">
              <w:r w:rsidDel="00000000" w:rsidR="00000000" w:rsidRPr="00000000">
                <w:rPr>
                  <w:rFonts w:ascii="Calibri" w:cs="Calibri" w:eastAsia="Calibri" w:hAnsi="Calibri"/>
                  <w:color w:val="1155cc"/>
                  <w:sz w:val="20"/>
                  <w:szCs w:val="20"/>
                  <w:highlight w:val="white"/>
                  <w:u w:val="single"/>
                  <w:rtl w:val="0"/>
                </w:rPr>
                <w:t xml:space="preserve">https://www.eventbrite.com/e/webinar-effectiveness-of-cva-and-market-support-activities-in-wash-tickets-129358074483</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hyperlink r:id="rId33">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4">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5">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6">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0">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7">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8">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1">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40">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3">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41">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4">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42">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43">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5">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6">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4">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r w:rsidDel="00000000" w:rsidR="00000000" w:rsidRPr="00000000">
              <w:rPr>
                <w:rtl w:val="0"/>
              </w:rPr>
            </w:r>
          </w:p>
          <w:p w:rsidR="00000000" w:rsidDel="00000000" w:rsidP="00000000" w:rsidRDefault="00000000" w:rsidRPr="00000000" w14:paraId="00000027">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before="17.39013671875" w:line="360" w:lineRule="auto"/>
              <w:ind w:left="720" w:right="59.459228515625" w:hanging="360"/>
              <w:jc w:val="both"/>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9">
      <w:pPr>
        <w:pageBreakBefore w:val="0"/>
        <w:spacing w:line="360" w:lineRule="auto"/>
        <w:jc w:val="both"/>
        <w:rPr/>
      </w:pPr>
      <w:r w:rsidDel="00000000" w:rsidR="00000000" w:rsidRPr="00000000">
        <w:rPr>
          <w:rtl w:val="0"/>
        </w:rPr>
      </w:r>
    </w:p>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1.dotmailer-surveys.com/4952l7ad-074f9u4b" TargetMode="External"/><Relationship Id="rId20" Type="http://schemas.openxmlformats.org/officeDocument/2006/relationships/hyperlink" Target="https://forms.office.com/Pages/ResponsePage.aspx?id=3b7_wRbLqkOekwdP02-HR5ACYBAw1vNBshMS3P3krYVUQTBZSlBROEsyS0dWVE83RkNaUk5DU0dQRC4u" TargetMode="External"/><Relationship Id="rId42" Type="http://schemas.openxmlformats.org/officeDocument/2006/relationships/hyperlink" Target="https://agora.unicef.org/course/info.php?id=28525" TargetMode="External"/><Relationship Id="rId41" Type="http://schemas.openxmlformats.org/officeDocument/2006/relationships/hyperlink" Target="https://transfer.cpc.unc.edu/cash-transfers-covid-19/?utm_source=Transfer+Project+Newsletter&amp;utm_campaign=df0f757bb9-" TargetMode="External"/><Relationship Id="rId22" Type="http://schemas.openxmlformats.org/officeDocument/2006/relationships/hyperlink" Target="https://www.youtube.com/watch?v=HL_aA5Qo_gA&amp;feature=youtu.be" TargetMode="External"/><Relationship Id="rId44" Type="http://schemas.openxmlformats.org/officeDocument/2006/relationships/hyperlink" Target="https://www.collaborativecash.org/social-protection-working-group" TargetMode="External"/><Relationship Id="rId21" Type="http://schemas.openxmlformats.org/officeDocument/2006/relationships/hyperlink" Target="https://ee.humanitarianresponse.info/x/wm5MnR75" TargetMode="External"/><Relationship Id="rId43" Type="http://schemas.openxmlformats.org/officeDocument/2006/relationships/hyperlink" Target="https://agora.unicef.org/course/info.php?id=28525" TargetMode="External"/><Relationship Id="rId24" Type="http://schemas.openxmlformats.org/officeDocument/2006/relationships/hyperlink" Target="https://cash-hub.org/-/media/cashhub-documents/resources/thematic-area/webinar/webinar-14/20201104_cashhub_webinar.pdf?la=en&amp;hash=2E25DF453B404DBDF3C996318C28B206DB45056F" TargetMode="External"/><Relationship Id="rId23" Type="http://schemas.openxmlformats.org/officeDocument/2006/relationships/hyperlink" Target="https://vimeo.com/475443877" TargetMode="External"/><Relationship Id="rId45" Type="http://schemas.openxmlformats.org/officeDocument/2006/relationships/hyperlink" Target="https://www.ugogentilini.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csbrms-my.sharepoint.com/:w:/g/personal/daviddalgado_redcross_org_uk/EXZXivoXlNtEs859EcizMPMBweYdi5FAu4qodSWhqwqW-w?rtime=Eu2ylW2M2Eg" TargetMode="External"/><Relationship Id="rId26" Type="http://schemas.openxmlformats.org/officeDocument/2006/relationships/hyperlink" Target="https://socialprotection.org/linking-cash-and-voucher-assistance-and-social-protection-demystifying-entry-points-humanitarians" TargetMode="External"/><Relationship Id="rId25" Type="http://schemas.openxmlformats.org/officeDocument/2006/relationships/hyperlink" Target="http://platform.kizilaykart.org/en/Doc/rapor/Remote_Focus_Group_Discussions.pdf" TargetMode="External"/><Relationship Id="rId28" Type="http://schemas.openxmlformats.org/officeDocument/2006/relationships/hyperlink" Target="https://socialprotection.org/discover/blog/lessons-learned-and-opportunities-linking-social-protection-systems-humanitarian-cash" TargetMode="External"/><Relationship Id="rId27" Type="http://schemas.openxmlformats.org/officeDocument/2006/relationships/hyperlink" Target="https://socialprotection.org/how-can-social-protection-systems-respond-covid-19-crisis" TargetMode="External"/><Relationship Id="rId5" Type="http://schemas.openxmlformats.org/officeDocument/2006/relationships/styles" Target="styles.xml"/><Relationship Id="rId6" Type="http://schemas.openxmlformats.org/officeDocument/2006/relationships/hyperlink" Target="https://drive.google.com/file/d/1OCJWyJ4_c2wNuE3Bb2ZF8_QN4DJrDVvP/view?usp=sharing" TargetMode="External"/><Relationship Id="rId29" Type="http://schemas.openxmlformats.org/officeDocument/2006/relationships/hyperlink" Target="https://washcluster.net/" TargetMode="External"/><Relationship Id="rId7" Type="http://schemas.openxmlformats.org/officeDocument/2006/relationships/hyperlink" Target="http://documents1.worldbank.org/curated/en/996581604677892185/pdf/Children-on-the-Move-Progressive-Redistribution-of-Humanitarian-Cash-Transfers-among-Refugees.pdf" TargetMode="External"/><Relationship Id="rId8" Type="http://schemas.openxmlformats.org/officeDocument/2006/relationships/hyperlink" Target="https://www.calpnetwork.org/state-of-the-worlds-cash-2020/" TargetMode="External"/><Relationship Id="rId31" Type="http://schemas.openxmlformats.org/officeDocument/2006/relationships/hyperlink" Target="https://www.calpnetwork.org/" TargetMode="External"/><Relationship Id="rId30" Type="http://schemas.openxmlformats.org/officeDocument/2006/relationships/hyperlink" Target="https://www.fsnnetwork.org/pro-wash" TargetMode="External"/><Relationship Id="rId11" Type="http://schemas.openxmlformats.org/officeDocument/2006/relationships/hyperlink" Target="https://www.gnlm.com.mm/cbm-launches-new-payment-and-settlement-system-cbm-net2/" TargetMode="External"/><Relationship Id="rId33" Type="http://schemas.openxmlformats.org/officeDocument/2006/relationships/hyperlink" Target="https://socialprotection.org/" TargetMode="External"/><Relationship Id="rId10" Type="http://schemas.openxmlformats.org/officeDocument/2006/relationships/hyperlink" Target="http://burmese.dvb.no/archives/424201?fbclid=IwAR3112W-i7X0UkyYbKlhWHE30_66iqfD9LxOj5xfVQA6qoLoT2iEy4Nwb44" TargetMode="External"/><Relationship Id="rId32" Type="http://schemas.openxmlformats.org/officeDocument/2006/relationships/hyperlink" Target="https://www.eventbrite.com/e/webinar-effectiveness-of-cva-and-market-support-activities-in-wash-tickets-129358074483" TargetMode="External"/><Relationship Id="rId13" Type="http://schemas.openxmlformats.org/officeDocument/2006/relationships/hyperlink" Target="https://www.gnlm.com.mm/victims-of-ayeyawady-riverbank-collapse-get-cash-assistance/" TargetMode="External"/><Relationship Id="rId35" Type="http://schemas.openxmlformats.org/officeDocument/2006/relationships/hyperlink" Target="https://socialprotection.org/connect/communities/social-protection-crisis-contexts" TargetMode="External"/><Relationship Id="rId12" Type="http://schemas.openxmlformats.org/officeDocument/2006/relationships/hyperlink" Target="https://web.facebook.com/JicaMyanmarOffice/photos/a.1272594529421924/4079912372023445/" TargetMode="External"/><Relationship Id="rId34" Type="http://schemas.openxmlformats.org/officeDocument/2006/relationships/hyperlink" Target="https://socialprotection.org/connect/communities/social-protection-responses-covid-19-task-force" TargetMode="External"/><Relationship Id="rId15" Type="http://schemas.openxmlformats.org/officeDocument/2006/relationships/hyperlink" Target="https://www.imf.org/en/Topics/imf-and-covid19/Policy-Responses-to-COVID-19" TargetMode="External"/><Relationship Id="rId37" Type="http://schemas.openxmlformats.org/officeDocument/2006/relationships/hyperlink" Target="https://www.calpnetwork.org/themes/cva-and-covid-19-resources-guidance-events-and-questions/" TargetMode="External"/><Relationship Id="rId14" Type="http://schemas.openxmlformats.org/officeDocument/2006/relationships/hyperlink" Target="https://drive.google.com/file/d/14fd9FMcm9ueDsfnLLJPyPOrNk9Ml0KpC/view" TargetMode="External"/><Relationship Id="rId36" Type="http://schemas.openxmlformats.org/officeDocument/2006/relationships/hyperlink" Target="https://www.calpnetwork.org/themes/cva-and-covid-19-resources-guidance-events-and-questions/" TargetMode="External"/><Relationship Id="rId17" Type="http://schemas.openxmlformats.org/officeDocument/2006/relationships/hyperlink" Target="https://www.humanitarianresponse.info/en/operations/latin-america-and-caribbean/hurricane-eta-nov-2020#honduras3w" TargetMode="External"/><Relationship Id="rId39" Type="http://schemas.openxmlformats.org/officeDocument/2006/relationships/hyperlink" Target="https://cash-hub.org/resources/cash-and-covid-19" TargetMode="External"/><Relationship Id="rId16" Type="http://schemas.openxmlformats.org/officeDocument/2006/relationships/hyperlink" Target="https://rolac345w.humanitarianresponse.info/" TargetMode="External"/><Relationship Id="rId38" Type="http://schemas.openxmlformats.org/officeDocument/2006/relationships/hyperlink" Target="https://www.calpnetwork.org/wp-content/uploads/2020/03/CaLP-summary-guidance-version-5-16-April-2020_.pdf" TargetMode="External"/><Relationship Id="rId19" Type="http://schemas.openxmlformats.org/officeDocument/2006/relationships/hyperlink" Target="https://www.calpnetwork.org/publication/multipurpose-cash-outcome-indicators-final-draft-for-testing/" TargetMode="External"/><Relationship Id="rId18" Type="http://schemas.openxmlformats.org/officeDocument/2006/relationships/hyperlink" Target="http://humanitarianrespon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