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pPr>
      <w:r w:rsidDel="00000000" w:rsidR="00000000" w:rsidRPr="00000000">
        <w:rPr>
          <w:rFonts w:ascii="Calibri" w:cs="Calibri" w:eastAsia="Calibri" w:hAnsi="Calibri"/>
          <w:b w:val="1"/>
          <w:sz w:val="24"/>
          <w:szCs w:val="24"/>
          <w:rtl w:val="0"/>
        </w:rPr>
        <w:t xml:space="preserve">Weekly Update #5  (23 October - 6 November 2020)</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b w:val="1"/>
                <w:rtl w:val="0"/>
              </w:rPr>
              <w:t xml:space="preserve">Recently published:</w: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before="16.326904296875" w:line="360" w:lineRule="auto"/>
              <w:ind w:right="58.460693359375"/>
              <w:jc w:val="both"/>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u w:val="single"/>
                <w:rtl w:val="0"/>
              </w:rPr>
              <w:t xml:space="preserve">In Myanmar:</w:t>
            </w:r>
            <w:r w:rsidDel="00000000" w:rsidR="00000000" w:rsidRPr="00000000">
              <w:rPr>
                <w:rFonts w:ascii="Calibri" w:cs="Calibri" w:eastAsia="Calibri" w:hAnsi="Calibri"/>
                <w:sz w:val="20"/>
                <w:szCs w:val="20"/>
                <w:highlight w:val="white"/>
                <w:rtl w:val="0"/>
              </w:rPr>
              <w:t xml:space="preserve"> </w:t>
            </w:r>
            <w:r w:rsidDel="00000000" w:rsidR="00000000" w:rsidRPr="00000000">
              <w:rPr>
                <w:rtl w:val="0"/>
              </w:rPr>
            </w:r>
          </w:p>
          <w:p w:rsidR="00000000" w:rsidDel="00000000" w:rsidP="00000000" w:rsidRDefault="00000000" w:rsidRPr="00000000" w14:paraId="00000005">
            <w:pPr>
              <w:pageBreakBefore w:val="0"/>
              <w:widowControl w:val="0"/>
              <w:spacing w:before="16.326904296875" w:line="360" w:lineRule="auto"/>
              <w:ind w:right="58.460693359375"/>
              <w:jc w:val="both"/>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Publication</w:t>
            </w:r>
            <w:r w:rsidDel="00000000" w:rsidR="00000000" w:rsidRPr="00000000">
              <w:rPr>
                <w:rFonts w:ascii="Calibri" w:cs="Calibri" w:eastAsia="Calibri" w:hAnsi="Calibri"/>
                <w:sz w:val="20"/>
                <w:szCs w:val="20"/>
                <w:highlight w:val="white"/>
                <w:rtl w:val="0"/>
              </w:rPr>
              <w:t xml:space="preserve">: IFPRI has published the findings from the first round of the survey with owners and managers of food retail shops in Yangon and Mandalay conducted in July. The policy note  provide policy recommendations to improve business conditions for rice mills and help them cope with the COVID-19 economic crisis. You can view the full policy note in English </w:t>
            </w:r>
            <w:hyperlink r:id="rId6">
              <w:r w:rsidDel="00000000" w:rsidR="00000000" w:rsidRPr="00000000">
                <w:rPr>
                  <w:rFonts w:ascii="Calibri" w:cs="Calibri" w:eastAsia="Calibri" w:hAnsi="Calibri"/>
                  <w:b w:val="1"/>
                  <w:color w:val="f6b221"/>
                  <w:sz w:val="20"/>
                  <w:szCs w:val="20"/>
                  <w:highlight w:val="white"/>
                  <w:rtl w:val="0"/>
                </w:rPr>
                <w:t xml:space="preserve">here</w:t>
              </w:r>
            </w:hyperlink>
            <w:r w:rsidDel="00000000" w:rsidR="00000000" w:rsidRPr="00000000">
              <w:rPr>
                <w:rFonts w:ascii="Calibri" w:cs="Calibri" w:eastAsia="Calibri" w:hAnsi="Calibri"/>
                <w:sz w:val="20"/>
                <w:szCs w:val="20"/>
                <w:highlight w:val="white"/>
                <w:rtl w:val="0"/>
              </w:rPr>
              <w:t xml:space="preserve"> and in Burmese </w:t>
            </w:r>
            <w:hyperlink r:id="rId7">
              <w:r w:rsidDel="00000000" w:rsidR="00000000" w:rsidRPr="00000000">
                <w:rPr>
                  <w:rFonts w:ascii="Calibri" w:cs="Calibri" w:eastAsia="Calibri" w:hAnsi="Calibri"/>
                  <w:b w:val="1"/>
                  <w:color w:val="f6b221"/>
                  <w:sz w:val="20"/>
                  <w:szCs w:val="20"/>
                  <w:highlight w:val="white"/>
                  <w:rtl w:val="0"/>
                </w:rPr>
                <w:t xml:space="preserve">here</w:t>
              </w:r>
            </w:hyperlink>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06">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u w:val="single"/>
              </w:rPr>
            </w:pPr>
            <w:r w:rsidDel="00000000" w:rsidR="00000000" w:rsidRPr="00000000">
              <w:rPr>
                <w:rFonts w:ascii="Calibri" w:cs="Calibri" w:eastAsia="Calibri" w:hAnsi="Calibri"/>
                <w:b w:val="1"/>
                <w:color w:val="222222"/>
                <w:sz w:val="20"/>
                <w:szCs w:val="20"/>
                <w:highlight w:val="white"/>
                <w:u w:val="single"/>
                <w:rtl w:val="0"/>
              </w:rPr>
              <w:t xml:space="preserve">In General: </w:t>
            </w:r>
          </w:p>
          <w:p w:rsidR="00000000" w:rsidDel="00000000" w:rsidP="00000000" w:rsidRDefault="00000000" w:rsidRPr="00000000" w14:paraId="00000007">
            <w:pPr>
              <w:pageBreakBefore w:val="0"/>
              <w:widowControl w:val="0"/>
              <w:shd w:fill="ffffff" w:val="clear"/>
              <w:spacing w:line="360" w:lineRule="auto"/>
              <w:ind w:left="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w:t>
            </w:r>
            <w:r w:rsidDel="00000000" w:rsidR="00000000" w:rsidRPr="00000000">
              <w:rPr>
                <w:rFonts w:ascii="Calibri" w:cs="Calibri" w:eastAsia="Calibri" w:hAnsi="Calibri"/>
                <w:color w:val="222222"/>
                <w:sz w:val="20"/>
                <w:szCs w:val="20"/>
                <w:highlight w:val="white"/>
                <w:rtl w:val="0"/>
              </w:rPr>
              <w:t xml:space="preserve">: UNICEF has published its </w:t>
            </w:r>
            <w:hyperlink r:id="rId8">
              <w:r w:rsidDel="00000000" w:rsidR="00000000" w:rsidRPr="00000000">
                <w:rPr>
                  <w:rFonts w:ascii="Calibri" w:cs="Calibri" w:eastAsia="Calibri" w:hAnsi="Calibri"/>
                  <w:color w:val="1155cc"/>
                  <w:sz w:val="20"/>
                  <w:szCs w:val="20"/>
                  <w:highlight w:val="white"/>
                  <w:u w:val="single"/>
                  <w:rtl w:val="0"/>
                </w:rPr>
                <w:t xml:space="preserve">Core Commitments for Children in Humanitarian Action</w:t>
              </w:r>
            </w:hyperlink>
            <w:r w:rsidDel="00000000" w:rsidR="00000000" w:rsidRPr="00000000">
              <w:rPr>
                <w:rFonts w:ascii="Calibri" w:cs="Calibri" w:eastAsia="Calibri" w:hAnsi="Calibri"/>
                <w:color w:val="222222"/>
                <w:sz w:val="20"/>
                <w:szCs w:val="20"/>
                <w:highlight w:val="white"/>
                <w:rtl w:val="0"/>
              </w:rPr>
              <w:t xml:space="preserve"> which include commitments in relation to humanitarian cash and for the first time, in relation to social protection. One of the benchmarks included in the commitments is “Coordination between the social protection and the humanitarian cash coordination systems is established and functional”.</w:t>
            </w:r>
          </w:p>
          <w:p w:rsidR="00000000" w:rsidDel="00000000" w:rsidP="00000000" w:rsidRDefault="00000000" w:rsidRPr="00000000" w14:paraId="00000008">
            <w:pPr>
              <w:pageBreakBefore w:val="0"/>
              <w:widowControl w:val="0"/>
              <w:numPr>
                <w:ilvl w:val="0"/>
                <w:numId w:val="2"/>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Socialprotection.org’s </w:t>
            </w:r>
            <w:hyperlink r:id="rId9">
              <w:r w:rsidDel="00000000" w:rsidR="00000000" w:rsidRPr="00000000">
                <w:rPr>
                  <w:rFonts w:ascii="Calibri" w:cs="Calibri" w:eastAsia="Calibri" w:hAnsi="Calibri"/>
                  <w:color w:val="1155cc"/>
                  <w:sz w:val="20"/>
                  <w:szCs w:val="20"/>
                  <w:highlight w:val="white"/>
                  <w:u w:val="single"/>
                  <w:rtl w:val="0"/>
                </w:rPr>
                <w:t xml:space="preserve">Annual Report 2020</w:t>
              </w:r>
            </w:hyperlink>
            <w:r w:rsidDel="00000000" w:rsidR="00000000" w:rsidRPr="00000000">
              <w:rPr>
                <w:rFonts w:ascii="Calibri" w:cs="Calibri" w:eastAsia="Calibri" w:hAnsi="Calibri"/>
                <w:color w:val="222222"/>
                <w:sz w:val="20"/>
                <w:szCs w:val="20"/>
                <w:highlight w:val="white"/>
                <w:rtl w:val="0"/>
              </w:rPr>
              <w:t xml:space="preserve"> highlights some of the work it has supported in relation to linking HCT and SP including links to and overviews of the Grand Bargain Sub-Group’s webinar series.</w:t>
            </w:r>
          </w:p>
          <w:p w:rsidR="00000000" w:rsidDel="00000000" w:rsidP="00000000" w:rsidRDefault="00000000" w:rsidRPr="00000000" w14:paraId="00000009">
            <w:pPr>
              <w:pageBreakBefore w:val="0"/>
              <w:widowControl w:val="0"/>
              <w:numPr>
                <w:ilvl w:val="0"/>
                <w:numId w:val="2"/>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Socialprotection.org’s October </w:t>
            </w:r>
            <w:hyperlink r:id="rId10">
              <w:r w:rsidDel="00000000" w:rsidR="00000000" w:rsidRPr="00000000">
                <w:rPr>
                  <w:rFonts w:ascii="Calibri" w:cs="Calibri" w:eastAsia="Calibri" w:hAnsi="Calibri"/>
                  <w:color w:val="1155cc"/>
                  <w:sz w:val="20"/>
                  <w:szCs w:val="20"/>
                  <w:highlight w:val="white"/>
                  <w:u w:val="single"/>
                  <w:rtl w:val="0"/>
                </w:rPr>
                <w:t xml:space="preserve">monthly newsletter</w:t>
              </w:r>
            </w:hyperlink>
            <w:r w:rsidDel="00000000" w:rsidR="00000000" w:rsidRPr="00000000">
              <w:rPr>
                <w:rFonts w:ascii="Calibri" w:cs="Calibri" w:eastAsia="Calibri" w:hAnsi="Calibri"/>
                <w:color w:val="222222"/>
                <w:sz w:val="20"/>
                <w:szCs w:val="20"/>
                <w:highlight w:val="white"/>
                <w:rtl w:val="0"/>
              </w:rPr>
              <w:t xml:space="preserve"> focuses on disability-inclusive social protection, sharing links to relevant resources and links to past webinars.</w:t>
            </w:r>
            <w:r w:rsidDel="00000000" w:rsidR="00000000" w:rsidRPr="00000000">
              <w:rPr>
                <w:rtl w:val="0"/>
              </w:rPr>
            </w:r>
          </w:p>
          <w:p w:rsidR="00000000" w:rsidDel="00000000" w:rsidP="00000000" w:rsidRDefault="00000000" w:rsidRPr="00000000" w14:paraId="0000000A">
            <w:pPr>
              <w:pageBreakBefore w:val="0"/>
              <w:widowControl w:val="0"/>
              <w:shd w:fill="ffffff" w:val="clear"/>
              <w:spacing w:before="120" w:line="360" w:lineRule="auto"/>
              <w:ind w:left="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Podcasts</w:t>
            </w:r>
            <w:r w:rsidDel="00000000" w:rsidR="00000000" w:rsidRPr="00000000">
              <w:rPr>
                <w:rFonts w:ascii="Calibri" w:cs="Calibri" w:eastAsia="Calibri" w:hAnsi="Calibri"/>
                <w:color w:val="222222"/>
                <w:sz w:val="20"/>
                <w:szCs w:val="20"/>
                <w:highlight w:val="white"/>
                <w:rtl w:val="0"/>
              </w:rPr>
              <w:t xml:space="preserve">: Key Aid Consulting has published podcasts in Arabic, English, French and Spanish to accompany its recently published report on </w:t>
            </w:r>
            <w:hyperlink r:id="rId11">
              <w:r w:rsidDel="00000000" w:rsidR="00000000" w:rsidRPr="00000000">
                <w:rPr>
                  <w:rFonts w:ascii="Calibri" w:cs="Calibri" w:eastAsia="Calibri" w:hAnsi="Calibri"/>
                  <w:color w:val="1155cc"/>
                  <w:sz w:val="20"/>
                  <w:szCs w:val="20"/>
                  <w:highlight w:val="white"/>
                  <w:u w:val="single"/>
                  <w:rtl w:val="0"/>
                </w:rPr>
                <w:t xml:space="preserve">how CVA design influences value for money</w:t>
              </w:r>
            </w:hyperlink>
            <w:r w:rsidDel="00000000" w:rsidR="00000000" w:rsidRPr="00000000">
              <w:rPr>
                <w:rFonts w:ascii="Calibri" w:cs="Calibri" w:eastAsia="Calibri" w:hAnsi="Calibri"/>
                <w:color w:val="222222"/>
                <w:sz w:val="20"/>
                <w:szCs w:val="20"/>
                <w:highlight w:val="white"/>
                <w:rtl w:val="0"/>
              </w:rPr>
              <w:t xml:space="preserve">. Listen to the podcast </w:t>
            </w:r>
            <w:hyperlink r:id="rId12">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w:t>
            </w: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8.571428571428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မကွေးတိုင်း၊ဂန့်ဂေါ်မြို့နယ်ရှိရေဘေးသင့်သူများအားငွေကြေးအထောက်အပံ့များကိုရပ်ကွက်အုပ်ချုပ်ရေးမှူးရုံးတွင်ကျင်းပခဲ့သည်။ </w:t>
            </w:r>
            <w:r w:rsidDel="00000000" w:rsidR="00000000" w:rsidRPr="00000000">
              <w:rPr>
                <w:rFonts w:ascii="Calibri" w:cs="Calibri" w:eastAsia="Calibri" w:hAnsi="Calibri"/>
                <w:sz w:val="20"/>
                <w:szCs w:val="20"/>
                <w:highlight w:val="white"/>
                <w:rtl w:val="0"/>
              </w:rPr>
              <w:t xml:space="preserve">Providing cash aids to flood victims in Gangaw Township, Magway Region was held at an office of Ward Administrator in Ward-3 in the town of Gangaw on 4 November. The officials from District Department of Disaster Management provided cash aids for purchasing building materials and rice to the flood victims. Link </w:t>
            </w:r>
            <w:hyperlink r:id="rId13">
              <w:r w:rsidDel="00000000" w:rsidR="00000000" w:rsidRPr="00000000">
                <w:rPr>
                  <w:rFonts w:ascii="Calibri" w:cs="Calibri" w:eastAsia="Calibri" w:hAnsi="Calibri"/>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ရခိုင်ပြည်နယ် မောင်တောခရိုင် မောင်တောမြို့နယ်၌  C0VID-19 ကူးစက်ရောဂါ ဖြစ်ပွားမှုကြောင်း စတုတ္တ အကြိမ်မြောက်အဖြစ် ပုံမှန်ဝင်ငွေမရှိသည့် အခြေခံအိမ်ထောင်စု (၁၃၈၆၀)ကို အိမ်ထောင်စုတစ်စုလျှင် စားဆီ (၂)လီတာနှုန်းဖြင့် နိုင်ငံတော်မှ ထောက်ပံ့ပေးအပ်ခြင်းကို နိုဝင်ဘာ ၅ ရက် နံနက် ၁၀ နာရီက  မြို့နယ်အထွေထွေအုပ်ချုပ်ရေးဦးစီးဌာန အစည်းအဝေးခန်းမ၌ ပြုလုပ်ခဲ့သည်။ </w:t>
            </w:r>
            <w:r w:rsidDel="00000000" w:rsidR="00000000" w:rsidRPr="00000000">
              <w:rPr>
                <w:rFonts w:ascii="Calibri" w:cs="Calibri" w:eastAsia="Calibri" w:hAnsi="Calibri"/>
                <w:sz w:val="20"/>
                <w:szCs w:val="20"/>
                <w:rtl w:val="0"/>
              </w:rPr>
              <w:t xml:space="preserve">In Rakhine, Maungdaw Township, for the fourth round of providing assistance, the government provided 2 liters of cooking oil per household to 13,860 households who do not have regular income at 10 am on 5 November at the township General Administration Department meeting hall. </w:t>
            </w:r>
            <w:hyperlink r:id="rId14">
              <w:r w:rsidDel="00000000" w:rsidR="00000000" w:rsidRPr="00000000">
                <w:rPr>
                  <w:rFonts w:ascii="Calibri" w:cs="Calibri" w:eastAsia="Calibri" w:hAnsi="Calibri"/>
                  <w:color w:val="1155cc"/>
                  <w:sz w:val="20"/>
                  <w:szCs w:val="20"/>
                  <w:u w:val="single"/>
                  <w:rtl w:val="0"/>
                </w:rPr>
                <w:t xml:space="preserve">Link</w:t>
              </w:r>
            </w:hyperlink>
            <w:r w:rsidDel="00000000" w:rsidR="00000000" w:rsidRPr="00000000">
              <w:rPr>
                <w:rtl w:val="0"/>
              </w:rPr>
            </w:r>
          </w:p>
          <w:p w:rsidR="00000000" w:rsidDel="00000000" w:rsidP="00000000" w:rsidRDefault="00000000" w:rsidRPr="00000000" w14:paraId="0000000E">
            <w:pPr>
              <w:pStyle w:val="Heading1"/>
              <w:keepNext w:val="0"/>
              <w:keepLines w:val="0"/>
              <w:pageBreakBefore w:val="0"/>
              <w:widowControl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20" w:before="0" w:line="288" w:lineRule="auto"/>
              <w:ind w:left="720" w:hanging="360"/>
              <w:jc w:val="both"/>
              <w:rPr>
                <w:rFonts w:ascii="Calibri" w:cs="Calibri" w:eastAsia="Calibri" w:hAnsi="Calibri"/>
                <w:sz w:val="20"/>
                <w:szCs w:val="20"/>
                <w:highlight w:val="white"/>
              </w:rPr>
            </w:pPr>
            <w:bookmarkStart w:colFirst="0" w:colLast="0" w:name="_g5b8ifioq9g4" w:id="0"/>
            <w:bookmarkEnd w:id="0"/>
            <w:hyperlink r:id="rId15">
              <w:r w:rsidDel="00000000" w:rsidR="00000000" w:rsidRPr="00000000">
                <w:rPr>
                  <w:rFonts w:ascii="Calibri" w:cs="Calibri" w:eastAsia="Calibri" w:hAnsi="Calibri"/>
                  <w:color w:val="1155cc"/>
                  <w:sz w:val="20"/>
                  <w:szCs w:val="20"/>
                  <w:highlight w:val="white"/>
                  <w:u w:val="single"/>
                  <w:rtl w:val="0"/>
                </w:rPr>
                <w:t xml:space="preserve">FAO and FCDO join forces to restore agriculture production and livelihoods in Mon and Kayin States and Tanintharyi Region</w:t>
              </w:r>
            </w:hyperlink>
            <w:r w:rsidDel="00000000" w:rsidR="00000000" w:rsidRPr="00000000">
              <w:rPr>
                <w:rFonts w:ascii="Calibri" w:cs="Calibri" w:eastAsia="Calibri" w:hAnsi="Calibri"/>
                <w:color w:val="003b43"/>
                <w:sz w:val="20"/>
                <w:szCs w:val="20"/>
                <w:highlight w:val="white"/>
                <w:rtl w:val="0"/>
              </w:rPr>
              <w:t xml:space="preserve">. The Food and Agriculture Organization of the United Nations (FAO) with the support of the Foreign Commonwealth and Development Office (FCDO), completed the provision of inputs for the most severe flood affected family farmers to restore agricultural production and livelihoods in southern parts of Myanmar. </w:t>
            </w:r>
            <w:r w:rsidDel="00000000" w:rsidR="00000000" w:rsidRPr="00000000">
              <w:rPr>
                <w:rFonts w:ascii="Calibri" w:cs="Calibri" w:eastAsia="Calibri" w:hAnsi="Calibri"/>
                <w:sz w:val="20"/>
                <w:szCs w:val="20"/>
                <w:highlight w:val="white"/>
                <w:rtl w:val="0"/>
              </w:rPr>
              <w:t xml:space="preserve">သဘာဝဘေးအန္တရာယ် ရေကြီးနစ်မြုပ်မှု ကြောင့် ပျက်စီးခဲ့သော စိုက်ပျိုးသီးနှံပင်များ၊ ထိခိုက်ခဲ့သော တောင်သူအိမ်ထောင်စုများအား ကိုဗစ်-၁၉ ရောဂါ ကာလအတွင်း စီးပွားရေး အဆင်ပြေစေရန်အတွက် ကုလသမဂ္ဂ စားနပ်ရိက္ခာနှင့် စိုက်ပျိုးရေးအဖွဲ့ (FAO)မှ စိုက်ပျိုးရေးသွင်းအားစု ပစ္စည်းများနှင့် ကျန်းမာရေးသုံးပစ္စည်းများ ထောက်ပံ့ပေးအပ် သည်။</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Mapping Updates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numPr>
                <w:ilvl w:val="0"/>
                <w:numId w:val="7"/>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050505"/>
                <w:sz w:val="20"/>
                <w:szCs w:val="20"/>
                <w:highlight w:val="white"/>
                <w:rtl w:val="0"/>
              </w:rPr>
              <w:t xml:space="preserve">SP/humanitarian cash links mapping (GB cash sub group initiative)</w:t>
            </w:r>
            <w:r w:rsidDel="00000000" w:rsidR="00000000" w:rsidRPr="00000000">
              <w:rPr>
                <w:rFonts w:ascii="Calibri" w:cs="Calibri" w:eastAsia="Calibri" w:hAnsi="Calibri"/>
                <w:color w:val="050505"/>
                <w:sz w:val="20"/>
                <w:szCs w:val="20"/>
                <w:highlight w:val="white"/>
                <w:rtl w:val="0"/>
              </w:rPr>
              <w:t xml:space="preserve">: This can be </w:t>
            </w:r>
            <w:hyperlink r:id="rId16">
              <w:r w:rsidDel="00000000" w:rsidR="00000000" w:rsidRPr="00000000">
                <w:rPr>
                  <w:rFonts w:ascii="Calibri" w:cs="Calibri" w:eastAsia="Calibri" w:hAnsi="Calibri"/>
                  <w:color w:val="1155cc"/>
                  <w:sz w:val="20"/>
                  <w:szCs w:val="20"/>
                  <w:highlight w:val="white"/>
                  <w:u w:val="single"/>
                  <w:rtl w:val="0"/>
                </w:rPr>
                <w:t xml:space="preserve">accessed here</w:t>
              </w:r>
            </w:hyperlink>
            <w:r w:rsidDel="00000000" w:rsidR="00000000" w:rsidRPr="00000000">
              <w:rPr>
                <w:rFonts w:ascii="Calibri" w:cs="Calibri" w:eastAsia="Calibri" w:hAnsi="Calibri"/>
                <w:color w:val="050505"/>
                <w:sz w:val="20"/>
                <w:szCs w:val="20"/>
                <w:highlight w:val="white"/>
                <w:rtl w:val="0"/>
              </w:rPr>
              <w:t xml:space="preserve">. The purpose of this live, shareable mapping is to support humanitarian actors in the field. It is light touch and the initial focus is countries/regions that have Humanitarian Response Plans. The mapping has been developed in coordination with other mapping initiatives. Contact Lois Austin (KML consultant for the GB Cash Workstream sub group on Linking Humanitarian Cash and Social Protection) for info/to set up a call. And please do go ahead and add missing information from your country/region into the mapping in order to ensure that it is a helpful tool for practitioners.</w:t>
            </w:r>
          </w:p>
          <w:p w:rsidR="00000000" w:rsidDel="00000000" w:rsidP="00000000" w:rsidRDefault="00000000" w:rsidRPr="00000000" w14:paraId="00000011">
            <w:pPr>
              <w:pageBreakBefore w:val="0"/>
              <w:widowControl w:val="0"/>
              <w:numPr>
                <w:ilvl w:val="0"/>
                <w:numId w:val="7"/>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w:t>
            </w:r>
            <w:hyperlink r:id="rId17">
              <w:r w:rsidDel="00000000" w:rsidR="00000000" w:rsidRPr="00000000">
                <w:rPr>
                  <w:rFonts w:ascii="Calibri" w:cs="Calibri" w:eastAsia="Calibri" w:hAnsi="Calibri"/>
                  <w:color w:val="1155cc"/>
                  <w:sz w:val="20"/>
                  <w:szCs w:val="20"/>
                  <w:highlight w:val="white"/>
                  <w:u w:val="single"/>
                  <w:rtl w:val="0"/>
                </w:rPr>
                <w:t xml:space="preserve">IMF Policy Responses to COVID-19 Tracker</w:t>
              </w:r>
            </w:hyperlink>
            <w:r w:rsidDel="00000000" w:rsidR="00000000" w:rsidRPr="00000000">
              <w:rPr>
                <w:rFonts w:ascii="Calibri" w:cs="Calibri" w:eastAsia="Calibri" w:hAnsi="Calibri"/>
                <w:color w:val="050505"/>
                <w:sz w:val="20"/>
                <w:szCs w:val="20"/>
                <w:highlight w:val="white"/>
                <w:rtl w:val="0"/>
              </w:rPr>
              <w:t xml:space="preserve"> provides a summary of the key economic responses that governments are taking to limit the human and economic impact of the pandemic providing information which is of relevance to humanitarian and development actors, particularly in the design and modification of their COVID-19-related responses.</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hd w:fill="ffffff" w:val="clear"/>
              <w:spacing w:line="36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Recent webinars and events:</w:t>
            </w:r>
            <w:r w:rsidDel="00000000" w:rsidR="00000000" w:rsidRPr="00000000">
              <w:rPr>
                <w:rFonts w:ascii="Calibri" w:cs="Calibri" w:eastAsia="Calibri" w:hAnsi="Calibri"/>
                <w:color w:val="222222"/>
                <w:sz w:val="20"/>
                <w:szCs w:val="20"/>
                <w:highlight w:val="white"/>
                <w:rtl w:val="0"/>
              </w:rPr>
              <w:t xml:space="preserve"> </w:t>
            </w:r>
          </w:p>
          <w:p w:rsidR="00000000" w:rsidDel="00000000" w:rsidP="00000000" w:rsidRDefault="00000000" w:rsidRPr="00000000" w14:paraId="00000014">
            <w:pPr>
              <w:pageBreakBefore w:val="0"/>
              <w:widowControl w:val="0"/>
              <w:numPr>
                <w:ilvl w:val="0"/>
                <w:numId w:val="5"/>
              </w:numPr>
              <w:shd w:fill="ffffff" w:val="clear"/>
              <w:spacing w:line="36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3c4043"/>
                <w:sz w:val="20"/>
                <w:szCs w:val="20"/>
                <w:highlight w:val="white"/>
                <w:rtl w:val="0"/>
              </w:rPr>
              <w:t xml:space="preserve">CaLP’s </w:t>
            </w:r>
            <w:r w:rsidDel="00000000" w:rsidR="00000000" w:rsidRPr="00000000">
              <w:rPr>
                <w:rFonts w:ascii="Calibri" w:cs="Calibri" w:eastAsia="Calibri" w:hAnsi="Calibri"/>
                <w:b w:val="1"/>
                <w:color w:val="3c4043"/>
                <w:sz w:val="20"/>
                <w:szCs w:val="20"/>
                <w:highlight w:val="white"/>
                <w:rtl w:val="0"/>
              </w:rPr>
              <w:t xml:space="preserve">first and second</w:t>
            </w:r>
            <w:r w:rsidDel="00000000" w:rsidR="00000000" w:rsidRPr="00000000">
              <w:rPr>
                <w:rFonts w:ascii="Calibri" w:cs="Calibri" w:eastAsia="Calibri" w:hAnsi="Calibri"/>
                <w:color w:val="3c4043"/>
                <w:sz w:val="20"/>
                <w:szCs w:val="20"/>
                <w:highlight w:val="white"/>
                <w:rtl w:val="0"/>
              </w:rPr>
              <w:t xml:space="preserve"> of five webinars on the topic of Minimum Expenditure Baskets (MEB) was held. The first event looked at the best tools available to calculate MEBs. You can watch the recording </w:t>
            </w:r>
            <w:hyperlink r:id="rId18">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3c4043"/>
                <w:sz w:val="20"/>
                <w:szCs w:val="20"/>
                <w:highlight w:val="white"/>
                <w:rtl w:val="0"/>
              </w:rPr>
              <w:t xml:space="preserve">. The second webinar addressed: “Health expenditures: what and how to include in MEB?”. You can watch the recording </w:t>
            </w:r>
            <w:hyperlink r:id="rId19">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3c4043"/>
                <w:sz w:val="20"/>
                <w:szCs w:val="20"/>
                <w:highlight w:val="white"/>
                <w:rtl w:val="0"/>
              </w:rPr>
              <w:t xml:space="preserve">.</w:t>
            </w:r>
          </w:p>
          <w:p w:rsidR="00000000" w:rsidDel="00000000" w:rsidP="00000000" w:rsidRDefault="00000000" w:rsidRPr="00000000" w14:paraId="00000015">
            <w:pPr>
              <w:pageBreakBefore w:val="0"/>
              <w:widowControl w:val="0"/>
              <w:numPr>
                <w:ilvl w:val="0"/>
                <w:numId w:val="5"/>
              </w:numPr>
              <w:shd w:fill="ffffff" w:val="clear"/>
              <w:spacing w:line="360" w:lineRule="auto"/>
              <w:ind w:left="720" w:hanging="360"/>
              <w:jc w:val="both"/>
              <w:rPr>
                <w:rFonts w:ascii="Calibri" w:cs="Calibri" w:eastAsia="Calibri" w:hAnsi="Calibri"/>
                <w:color w:val="3c4043"/>
                <w:sz w:val="20"/>
                <w:szCs w:val="20"/>
                <w:highlight w:val="white"/>
              </w:rPr>
            </w:pPr>
            <w:r w:rsidDel="00000000" w:rsidR="00000000" w:rsidRPr="00000000">
              <w:rPr>
                <w:rFonts w:ascii="Calibri" w:cs="Calibri" w:eastAsia="Calibri" w:hAnsi="Calibri"/>
                <w:color w:val="3c4043"/>
                <w:sz w:val="20"/>
                <w:szCs w:val="20"/>
                <w:highlight w:val="white"/>
                <w:rtl w:val="0"/>
              </w:rPr>
              <w:t xml:space="preserve">CashHub webinar on Cash and Voucher Assistance for Health Outcomes was held on 21 October. </w:t>
            </w:r>
            <w:r w:rsidDel="00000000" w:rsidR="00000000" w:rsidRPr="00000000">
              <w:rPr>
                <w:rFonts w:ascii="Calibri" w:cs="Calibri" w:eastAsia="Calibri" w:hAnsi="Calibri"/>
                <w:color w:val="222222"/>
                <w:sz w:val="20"/>
                <w:szCs w:val="20"/>
                <w:highlight w:val="white"/>
                <w:rtl w:val="0"/>
              </w:rPr>
              <w:t xml:space="preserve">The recording of the Webinar is </w:t>
            </w:r>
            <w:hyperlink r:id="rId20">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w:t>
            </w:r>
            <w:r w:rsidDel="00000000" w:rsidR="00000000" w:rsidRPr="00000000">
              <w:rPr>
                <w:rtl w:val="0"/>
              </w:rPr>
            </w:r>
          </w:p>
          <w:p w:rsidR="00000000" w:rsidDel="00000000" w:rsidP="00000000" w:rsidRDefault="00000000" w:rsidRPr="00000000" w14:paraId="00000016">
            <w:pPr>
              <w:pageBreakBefore w:val="0"/>
              <w:widowControl w:val="0"/>
              <w:shd w:fill="ffffff" w:val="clear"/>
              <w:spacing w:line="360" w:lineRule="auto"/>
              <w:jc w:val="both"/>
              <w:rPr>
                <w:rFonts w:ascii="Calibri" w:cs="Calibri" w:eastAsia="Calibri" w:hAnsi="Calibri"/>
                <w:b w:val="1"/>
                <w:color w:val="3c4043"/>
                <w:sz w:val="20"/>
                <w:szCs w:val="20"/>
                <w:highlight w:val="white"/>
              </w:rPr>
            </w:pPr>
            <w:r w:rsidDel="00000000" w:rsidR="00000000" w:rsidRPr="00000000">
              <w:rPr>
                <w:rFonts w:ascii="Calibri" w:cs="Calibri" w:eastAsia="Calibri" w:hAnsi="Calibri"/>
                <w:b w:val="1"/>
                <w:color w:val="3c4043"/>
                <w:sz w:val="20"/>
                <w:szCs w:val="20"/>
                <w:highlight w:val="white"/>
                <w:rtl w:val="0"/>
              </w:rPr>
              <w:t xml:space="preserve">Upcoming webinars and events:</w:t>
            </w:r>
          </w:p>
          <w:p w:rsidR="00000000" w:rsidDel="00000000" w:rsidP="00000000" w:rsidRDefault="00000000" w:rsidRPr="00000000" w14:paraId="00000017">
            <w:pPr>
              <w:pageBreakBefore w:val="0"/>
              <w:widowControl w:val="0"/>
              <w:numPr>
                <w:ilvl w:val="0"/>
                <w:numId w:val="3"/>
              </w:numPr>
              <w:shd w:fill="ffffff" w:val="clear"/>
              <w:spacing w:line="360" w:lineRule="auto"/>
              <w:ind w:left="720" w:hanging="360"/>
              <w:jc w:val="both"/>
              <w:rPr>
                <w:rFonts w:ascii="Calibri" w:cs="Calibri" w:eastAsia="Calibri" w:hAnsi="Calibri"/>
                <w:color w:val="3c4043"/>
                <w:sz w:val="20"/>
                <w:szCs w:val="20"/>
                <w:highlight w:val="white"/>
              </w:rPr>
            </w:pPr>
            <w:r w:rsidDel="00000000" w:rsidR="00000000" w:rsidRPr="00000000">
              <w:rPr>
                <w:rFonts w:ascii="Calibri" w:cs="Calibri" w:eastAsia="Calibri" w:hAnsi="Calibri"/>
                <w:color w:val="3c4043"/>
                <w:sz w:val="20"/>
                <w:szCs w:val="20"/>
                <w:highlight w:val="white"/>
                <w:rtl w:val="0"/>
              </w:rPr>
              <w:t xml:space="preserve">CaLP and WFP’s webinar series focusing on different aspects of the Minimum Expenditure Basket (MEB) continues on coming Thursday. </w:t>
            </w:r>
            <w:r w:rsidDel="00000000" w:rsidR="00000000" w:rsidRPr="00000000">
              <w:rPr>
                <w:rFonts w:ascii="Calibri" w:cs="Calibri" w:eastAsia="Calibri" w:hAnsi="Calibri"/>
                <w:color w:val="222222"/>
                <w:sz w:val="20"/>
                <w:szCs w:val="20"/>
                <w:highlight w:val="white"/>
                <w:rtl w:val="0"/>
              </w:rPr>
              <w:t xml:space="preserve">The webinar series is running weekly, n</w:t>
            </w:r>
            <w:r w:rsidDel="00000000" w:rsidR="00000000" w:rsidRPr="00000000">
              <w:rPr>
                <w:rFonts w:ascii="Calibri" w:cs="Calibri" w:eastAsia="Calibri" w:hAnsi="Calibri"/>
                <w:color w:val="222222"/>
                <w:sz w:val="20"/>
                <w:szCs w:val="20"/>
                <w:highlight w:val="white"/>
                <w:rtl w:val="0"/>
              </w:rPr>
              <w:t xml:space="preserve">ext session will be on </w:t>
            </w:r>
            <w:r w:rsidDel="00000000" w:rsidR="00000000" w:rsidRPr="00000000">
              <w:rPr>
                <w:rFonts w:ascii="Calibri" w:cs="Calibri" w:eastAsia="Calibri" w:hAnsi="Calibri"/>
                <w:color w:val="222222"/>
                <w:sz w:val="20"/>
                <w:szCs w:val="20"/>
                <w:highlight w:val="white"/>
                <w:rtl w:val="0"/>
              </w:rPr>
              <w:t xml:space="preserve"> Thursday (the 12th) at 13H00 GMT to learn more about “</w:t>
            </w:r>
            <w:r w:rsidDel="00000000" w:rsidR="00000000" w:rsidRPr="00000000">
              <w:rPr>
                <w:rFonts w:ascii="Calibri" w:cs="Calibri" w:eastAsia="Calibri" w:hAnsi="Calibri"/>
                <w:sz w:val="20"/>
                <w:szCs w:val="20"/>
                <w:highlight w:val="white"/>
                <w:rtl w:val="0"/>
              </w:rPr>
              <w:t xml:space="preserve">Identifying the trigger points for MEB review and update: a peer-to-peer learning conversation</w:t>
            </w:r>
            <w:r w:rsidDel="00000000" w:rsidR="00000000" w:rsidRPr="00000000">
              <w:rPr>
                <w:rFonts w:ascii="Calibri" w:cs="Calibri" w:eastAsia="Calibri" w:hAnsi="Calibri"/>
                <w:color w:val="222222"/>
                <w:sz w:val="20"/>
                <w:szCs w:val="20"/>
                <w:highlight w:val="white"/>
                <w:rtl w:val="0"/>
              </w:rPr>
              <w:t xml:space="preserve">”, you can sign up here: </w:t>
            </w:r>
            <w:hyperlink r:id="rId21">
              <w:r w:rsidDel="00000000" w:rsidR="00000000" w:rsidRPr="00000000">
                <w:rPr>
                  <w:rFonts w:ascii="Calibri" w:cs="Calibri" w:eastAsia="Calibri" w:hAnsi="Calibri"/>
                  <w:color w:val="1155cc"/>
                  <w:sz w:val="20"/>
                  <w:szCs w:val="20"/>
                  <w:highlight w:val="white"/>
                  <w:u w:val="single"/>
                  <w:rtl w:val="0"/>
                </w:rPr>
                <w:t xml:space="preserve">https://bit.ly/3jVHMg5</w:t>
              </w:r>
            </w:hyperlink>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before="17.39013671875" w:line="360" w:lineRule="auto"/>
              <w:ind w:left="720" w:right="59.459228515625" w:hanging="360"/>
              <w:jc w:val="center"/>
              <w:rPr>
                <w:rFonts w:ascii="Calibri" w:cs="Calibri" w:eastAsia="Calibri" w:hAnsi="Calibri"/>
                <w:b w:val="1"/>
                <w:color w:val="050505"/>
                <w:sz w:val="24"/>
                <w:szCs w:val="24"/>
              </w:rPr>
            </w:pPr>
            <w:r w:rsidDel="00000000" w:rsidR="00000000" w:rsidRPr="00000000">
              <w:rPr>
                <w:rFonts w:ascii="Calibri" w:cs="Calibri" w:eastAsia="Calibri" w:hAnsi="Calibri"/>
                <w:b w:val="1"/>
                <w:color w:val="050505"/>
                <w:sz w:val="24"/>
                <w:szCs w:val="24"/>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numPr>
                <w:ilvl w:val="0"/>
                <w:numId w:val="6"/>
              </w:numPr>
              <w:shd w:fill="ffffff" w:val="clear"/>
              <w:spacing w:line="360" w:lineRule="auto"/>
              <w:ind w:left="720" w:hanging="360"/>
              <w:jc w:val="both"/>
              <w:rPr>
                <w:rFonts w:ascii="Calibri" w:cs="Calibri" w:eastAsia="Calibri" w:hAnsi="Calibri"/>
                <w:color w:val="050505"/>
                <w:sz w:val="20"/>
                <w:szCs w:val="20"/>
                <w:highlight w:val="white"/>
                <w:u w:val="none"/>
              </w:rPr>
            </w:pPr>
            <w:hyperlink r:id="rId22">
              <w:r w:rsidDel="00000000" w:rsidR="00000000" w:rsidRPr="00000000">
                <w:rPr>
                  <w:rFonts w:ascii="Calibri" w:cs="Calibri" w:eastAsia="Calibri" w:hAnsi="Calibri"/>
                  <w:color w:val="1155cc"/>
                  <w:sz w:val="20"/>
                  <w:szCs w:val="20"/>
                  <w:highlight w:val="white"/>
                  <w:u w:val="single"/>
                  <w:rtl w:val="0"/>
                </w:rPr>
                <w:t xml:space="preserve">Socialprotection.org</w:t>
              </w:r>
            </w:hyperlink>
            <w:r w:rsidDel="00000000" w:rsidR="00000000" w:rsidRPr="00000000">
              <w:rPr>
                <w:rFonts w:ascii="Calibri" w:cs="Calibri" w:eastAsia="Calibri" w:hAnsi="Calibri"/>
                <w:color w:val="050505"/>
                <w:sz w:val="20"/>
                <w:szCs w:val="20"/>
                <w:highlight w:val="white"/>
                <w:rtl w:val="0"/>
              </w:rPr>
              <w:t xml:space="preserve"> continues to host a space on </w:t>
            </w:r>
            <w:hyperlink r:id="rId23">
              <w:r w:rsidDel="00000000" w:rsidR="00000000" w:rsidRPr="00000000">
                <w:rPr>
                  <w:rFonts w:ascii="Calibri" w:cs="Calibri" w:eastAsia="Calibri" w:hAnsi="Calibri"/>
                  <w:color w:val="1155cc"/>
                  <w:sz w:val="20"/>
                  <w:szCs w:val="20"/>
                  <w:highlight w:val="white"/>
                  <w:u w:val="single"/>
                  <w:rtl w:val="0"/>
                </w:rPr>
                <w:t xml:space="preserve">social protection responses to #COVID19</w:t>
              </w:r>
            </w:hyperlink>
            <w:r w:rsidDel="00000000" w:rsidR="00000000" w:rsidRPr="00000000">
              <w:rPr>
                <w:rFonts w:ascii="Calibri" w:cs="Calibri" w:eastAsia="Calibri" w:hAnsi="Calibri"/>
                <w:color w:val="050505"/>
                <w:sz w:val="20"/>
                <w:szCs w:val="20"/>
                <w:highlight w:val="white"/>
                <w:rtl w:val="0"/>
              </w:rPr>
              <w:t xml:space="preserve"> which provides access to a series of events, newsletters, mappings etc. In addition, the website hosts a number of online communities including one specifically focused on </w:t>
            </w:r>
            <w:hyperlink r:id="rId24">
              <w:r w:rsidDel="00000000" w:rsidR="00000000" w:rsidRPr="00000000">
                <w:rPr>
                  <w:rFonts w:ascii="Calibri" w:cs="Calibri" w:eastAsia="Calibri" w:hAnsi="Calibri"/>
                  <w:color w:val="1155cc"/>
                  <w:sz w:val="20"/>
                  <w:szCs w:val="20"/>
                  <w:highlight w:val="white"/>
                  <w:u w:val="single"/>
                  <w:rtl w:val="0"/>
                </w:rPr>
                <w:t xml:space="preserve">social protection in crisis contexts</w:t>
              </w:r>
            </w:hyperlink>
            <w:r w:rsidDel="00000000" w:rsidR="00000000" w:rsidRPr="00000000">
              <w:rPr>
                <w:rFonts w:ascii="Calibri" w:cs="Calibri" w:eastAsia="Calibri" w:hAnsi="Calibri"/>
                <w:color w:val="050505"/>
                <w:sz w:val="20"/>
                <w:szCs w:val="20"/>
                <w:highlight w:val="white"/>
                <w:rtl w:val="0"/>
              </w:rPr>
              <w:t xml:space="preserve">. Here, as one of the community resources, you can find a page dedicated to th</w:t>
            </w:r>
            <w:hyperlink r:id="rId25">
              <w:r w:rsidDel="00000000" w:rsidR="00000000" w:rsidRPr="00000000">
                <w:rPr>
                  <w:rFonts w:ascii="Calibri" w:cs="Calibri" w:eastAsia="Calibri" w:hAnsi="Calibri"/>
                  <w:color w:val="1155cc"/>
                  <w:sz w:val="20"/>
                  <w:szCs w:val="20"/>
                  <w:highlight w:val="white"/>
                  <w:u w:val="single"/>
                  <w:rtl w:val="0"/>
                </w:rPr>
                <w:t xml:space="preserve">e Grand Bargain cash workstream sub-group on linking HCT and SP</w:t>
              </w:r>
            </w:hyperlink>
            <w:r w:rsidDel="00000000" w:rsidR="00000000" w:rsidRPr="00000000">
              <w:rPr>
                <w:rFonts w:ascii="Calibri" w:cs="Calibri" w:eastAsia="Calibri" w:hAnsi="Calibri"/>
                <w:color w:val="050505"/>
                <w:sz w:val="20"/>
                <w:szCs w:val="20"/>
                <w:highlight w:val="white"/>
                <w:rtl w:val="0"/>
              </w:rPr>
              <w:t xml:space="preserve"> which will give you links to this newsletter and more.</w:t>
            </w:r>
          </w:p>
          <w:p w:rsidR="00000000" w:rsidDel="00000000" w:rsidP="00000000" w:rsidRDefault="00000000" w:rsidRPr="00000000" w14:paraId="0000001A">
            <w:pPr>
              <w:pageBreakBefore w:val="0"/>
              <w:widowControl w:val="0"/>
              <w:numPr>
                <w:ilvl w:val="0"/>
                <w:numId w:val="6"/>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CaLP has a dedicated space on </w:t>
            </w:r>
            <w:hyperlink r:id="rId26">
              <w:r w:rsidDel="00000000" w:rsidR="00000000" w:rsidRPr="00000000">
                <w:rPr>
                  <w:rFonts w:ascii="Calibri" w:cs="Calibri" w:eastAsia="Calibri" w:hAnsi="Calibri"/>
                  <w:color w:val="1155cc"/>
                  <w:sz w:val="20"/>
                  <w:szCs w:val="20"/>
                  <w:highlight w:val="white"/>
                  <w:u w:val="single"/>
                  <w:rtl w:val="0"/>
                </w:rPr>
                <w:t xml:space="preserve">CVA and COVID-19: resources, guidance, events and questions</w:t>
              </w:r>
            </w:hyperlink>
            <w:r w:rsidDel="00000000" w:rsidR="00000000" w:rsidRPr="00000000">
              <w:rPr>
                <w:rFonts w:ascii="Calibri" w:cs="Calibri" w:eastAsia="Calibri" w:hAnsi="Calibri"/>
                <w:color w:val="050505"/>
                <w:sz w:val="20"/>
                <w:szCs w:val="20"/>
                <w:highlight w:val="white"/>
                <w:rtl w:val="0"/>
              </w:rPr>
              <w:t xml:space="preserve"> and </w:t>
            </w:r>
            <w:hyperlink r:id="rId27">
              <w:r w:rsidDel="00000000" w:rsidR="00000000" w:rsidRPr="00000000">
                <w:rPr>
                  <w:rFonts w:ascii="Calibri" w:cs="Calibri" w:eastAsia="Calibri" w:hAnsi="Calibri"/>
                  <w:color w:val="1155cc"/>
                  <w:sz w:val="20"/>
                  <w:szCs w:val="20"/>
                  <w:highlight w:val="white"/>
                  <w:u w:val="single"/>
                  <w:rtl w:val="0"/>
                </w:rPr>
                <w:t xml:space="preserve">CaLP-produced guidance on CVA considerations for COVID</w:t>
              </w:r>
            </w:hyperlink>
            <w:r w:rsidDel="00000000" w:rsidR="00000000" w:rsidRPr="00000000">
              <w:rPr>
                <w:rFonts w:ascii="Calibri" w:cs="Calibri" w:eastAsia="Calibri" w:hAnsi="Calibri"/>
                <w:color w:val="050505"/>
                <w:sz w:val="20"/>
                <w:szCs w:val="20"/>
                <w:highlight w:val="white"/>
                <w:rtl w:val="0"/>
              </w:rPr>
              <w:t xml:space="preserve">. (including a section specific to SP/HCTs).</w:t>
            </w:r>
          </w:p>
          <w:p w:rsidR="00000000" w:rsidDel="00000000" w:rsidP="00000000" w:rsidRDefault="00000000" w:rsidRPr="00000000" w14:paraId="0000001B">
            <w:pPr>
              <w:pageBreakBefore w:val="0"/>
              <w:widowControl w:val="0"/>
              <w:numPr>
                <w:ilvl w:val="0"/>
                <w:numId w:val="6"/>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here: </w:t>
            </w:r>
            <w:hyperlink r:id="rId28">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1C">
            <w:pPr>
              <w:pageBreakBefore w:val="0"/>
              <w:widowControl w:val="0"/>
              <w:numPr>
                <w:ilvl w:val="0"/>
                <w:numId w:val="6"/>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platform also provides quarterly updates which provide a useful consolidation of CVA-related topics. Subscribe by clicking on this </w:t>
            </w:r>
            <w:hyperlink r:id="rId29">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color w:val="050505"/>
                <w:sz w:val="20"/>
                <w:szCs w:val="20"/>
                <w:highlight w:val="white"/>
                <w:rtl w:val="0"/>
              </w:rPr>
              <w:t xml:space="preserve">.</w:t>
            </w:r>
          </w:p>
          <w:p w:rsidR="00000000" w:rsidDel="00000000" w:rsidP="00000000" w:rsidRDefault="00000000" w:rsidRPr="00000000" w14:paraId="0000001D">
            <w:pPr>
              <w:pageBreakBefore w:val="0"/>
              <w:widowControl w:val="0"/>
              <w:numPr>
                <w:ilvl w:val="0"/>
                <w:numId w:val="6"/>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222222"/>
                <w:sz w:val="20"/>
                <w:szCs w:val="20"/>
                <w:highlight w:val="white"/>
                <w:rtl w:val="0"/>
              </w:rPr>
              <w:t xml:space="preserve">A multi-country cash transfer research initiative – </w:t>
            </w:r>
            <w:hyperlink r:id="rId30">
              <w:r w:rsidDel="00000000" w:rsidR="00000000" w:rsidRPr="00000000">
                <w:rPr>
                  <w:rFonts w:ascii="Calibri" w:cs="Calibri" w:eastAsia="Calibri" w:hAnsi="Calibri"/>
                  <w:color w:val="1155cc"/>
                  <w:sz w:val="20"/>
                  <w:szCs w:val="20"/>
                  <w:highlight w:val="white"/>
                  <w:u w:val="single"/>
                  <w:rtl w:val="0"/>
                </w:rPr>
                <w:t xml:space="preserve">the Transfer Project</w:t>
              </w:r>
            </w:hyperlink>
            <w:r w:rsidDel="00000000" w:rsidR="00000000" w:rsidRPr="00000000">
              <w:rPr>
                <w:rFonts w:ascii="Calibri" w:cs="Calibri" w:eastAsia="Calibri" w:hAnsi="Calibri"/>
                <w:color w:val="222222"/>
                <w:sz w:val="20"/>
                <w:szCs w:val="20"/>
                <w:highlight w:val="white"/>
                <w:rtl w:val="0"/>
              </w:rPr>
              <w:t xml:space="preserve"> – provides a quick-access round-up of COVID-19 related resources click </w:t>
            </w:r>
            <w:hyperlink r:id="rId31">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1E">
            <w:pPr>
              <w:pageBreakBefore w:val="0"/>
              <w:widowControl w:val="0"/>
              <w:shd w:fill="ffffff" w:val="clear"/>
              <w:spacing w:line="360"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Resources:</w:t>
            </w:r>
            <w:r w:rsidDel="00000000" w:rsidR="00000000" w:rsidRPr="00000000">
              <w:rPr>
                <w:rFonts w:ascii="Calibri" w:cs="Calibri" w:eastAsia="Calibri" w:hAnsi="Calibri"/>
                <w:color w:val="050505"/>
                <w:sz w:val="20"/>
                <w:szCs w:val="20"/>
                <w:highlight w:val="white"/>
                <w:rtl w:val="0"/>
              </w:rPr>
              <w:t xml:space="preserve"> </w:t>
            </w:r>
          </w:p>
          <w:p w:rsidR="00000000" w:rsidDel="00000000" w:rsidP="00000000" w:rsidRDefault="00000000" w:rsidRPr="00000000" w14:paraId="0000001F">
            <w:pPr>
              <w:pageBreakBefore w:val="0"/>
              <w:widowControl w:val="0"/>
              <w:numPr>
                <w:ilvl w:val="0"/>
                <w:numId w:val="1"/>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CCD has a page on </w:t>
            </w:r>
            <w:hyperlink r:id="rId32">
              <w:r w:rsidDel="00000000" w:rsidR="00000000" w:rsidRPr="00000000">
                <w:rPr>
                  <w:rFonts w:ascii="Calibri" w:cs="Calibri" w:eastAsia="Calibri" w:hAnsi="Calibri"/>
                  <w:color w:val="1155cc"/>
                  <w:sz w:val="20"/>
                  <w:szCs w:val="20"/>
                  <w:highlight w:val="white"/>
                  <w:u w:val="single"/>
                  <w:rtl w:val="0"/>
                </w:rPr>
                <w:t xml:space="preserve">Social Protection and Humanitarian Cash</w:t>
              </w:r>
            </w:hyperlink>
            <w:r w:rsidDel="00000000" w:rsidR="00000000" w:rsidRPr="00000000">
              <w:rPr>
                <w:rFonts w:ascii="Calibri" w:cs="Calibri" w:eastAsia="Calibri" w:hAnsi="Calibri"/>
                <w:color w:val="050505"/>
                <w:sz w:val="20"/>
                <w:szCs w:val="20"/>
                <w:highlight w:val="white"/>
                <w:rtl w:val="0"/>
              </w:rPr>
              <w:t xml:space="preserve"> which includes country case studies and guidance.</w:t>
            </w:r>
            <w:r w:rsidDel="00000000" w:rsidR="00000000" w:rsidRPr="00000000">
              <w:rPr>
                <w:rtl w:val="0"/>
              </w:rPr>
            </w:r>
          </w:p>
          <w:p w:rsidR="00000000" w:rsidDel="00000000" w:rsidP="00000000" w:rsidRDefault="00000000" w:rsidRPr="00000000" w14:paraId="00000020">
            <w:pPr>
              <w:pageBreakBefore w:val="0"/>
              <w:widowControl w:val="0"/>
              <w:numPr>
                <w:ilvl w:val="0"/>
                <w:numId w:val="1"/>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Click the link to access </w:t>
            </w:r>
            <w:hyperlink r:id="rId33">
              <w:r w:rsidDel="00000000" w:rsidR="00000000" w:rsidRPr="00000000">
                <w:rPr>
                  <w:rFonts w:ascii="Calibri" w:cs="Calibri" w:eastAsia="Calibri" w:hAnsi="Calibri"/>
                  <w:color w:val="1155cc"/>
                  <w:sz w:val="20"/>
                  <w:szCs w:val="20"/>
                  <w:highlight w:val="white"/>
                  <w:u w:val="single"/>
                  <w:rtl w:val="0"/>
                </w:rPr>
                <w:t xml:space="preserve">Ugo Gentilini’s Weekly Social Protection Links newsletter.</w:t>
              </w:r>
            </w:hyperlink>
            <w:r w:rsidDel="00000000" w:rsidR="00000000" w:rsidRPr="00000000">
              <w:rPr>
                <w:rFonts w:ascii="Calibri" w:cs="Calibri" w:eastAsia="Calibri" w:hAnsi="Calibri"/>
                <w:color w:val="050505"/>
                <w:sz w:val="20"/>
                <w:szCs w:val="20"/>
                <w:highlight w:val="white"/>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before="17.39013671875" w:line="360" w:lineRule="auto"/>
              <w:ind w:left="720" w:right="59.459228515625" w:hanging="360"/>
              <w:jc w:val="center"/>
              <w:rPr>
                <w:rFonts w:ascii="Calibri" w:cs="Calibri" w:eastAsia="Calibri" w:hAnsi="Calibri"/>
                <w:b w:val="1"/>
                <w:color w:val="050505"/>
                <w:sz w:val="24"/>
                <w:szCs w:val="24"/>
                <w:highlight w:val="white"/>
              </w:rPr>
            </w:pPr>
            <w:r w:rsidDel="00000000" w:rsidR="00000000" w:rsidRPr="00000000">
              <w:rPr>
                <w:rFonts w:ascii="Calibri" w:cs="Calibri" w:eastAsia="Calibri" w:hAnsi="Calibri"/>
                <w:b w:val="1"/>
                <w:color w:val="050505"/>
                <w:sz w:val="24"/>
                <w:szCs w:val="24"/>
                <w:highlight w:val="white"/>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22">
      <w:pPr>
        <w:pageBreakBefore w:val="0"/>
        <w:spacing w:line="360" w:lineRule="auto"/>
        <w:jc w:val="both"/>
        <w:rPr/>
      </w:pPr>
      <w:r w:rsidDel="00000000" w:rsidR="00000000" w:rsidRPr="00000000">
        <w:rPr>
          <w:rtl w:val="0"/>
        </w:rPr>
      </w:r>
    </w:p>
    <w:p w:rsidR="00000000" w:rsidDel="00000000" w:rsidP="00000000" w:rsidRDefault="00000000" w:rsidRPr="00000000" w14:paraId="00000023">
      <w:pPr>
        <w:pageBreakBefore w:val="0"/>
        <w:spacing w:line="360" w:lineRule="auto"/>
        <w:jc w:val="both"/>
        <w:rPr/>
      </w:pPr>
      <w:r w:rsidDel="00000000" w:rsidR="00000000" w:rsidRPr="00000000">
        <w:rPr>
          <w:rtl w:val="0"/>
        </w:rPr>
      </w:r>
    </w:p>
    <w:p w:rsidR="00000000" w:rsidDel="00000000" w:rsidP="00000000" w:rsidRDefault="00000000" w:rsidRPr="00000000" w14:paraId="00000024">
      <w:pPr>
        <w:pageBreakBefore w:val="0"/>
        <w:spacing w:line="36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vimeo.com/470571996" TargetMode="External"/><Relationship Id="rId22" Type="http://schemas.openxmlformats.org/officeDocument/2006/relationships/hyperlink" Target="https://socialprotection.org/" TargetMode="External"/><Relationship Id="rId21" Type="http://schemas.openxmlformats.org/officeDocument/2006/relationships/hyperlink" Target="https://calpnetwork-org.zoom.us/webinar/register/WN_Wof1aKsYTT6cLQUoCamfkQ" TargetMode="External"/><Relationship Id="rId24" Type="http://schemas.openxmlformats.org/officeDocument/2006/relationships/hyperlink" Target="https://socialprotection.org/connect/communities/social-protection-crisis-contexts" TargetMode="External"/><Relationship Id="rId23" Type="http://schemas.openxmlformats.org/officeDocument/2006/relationships/hyperlink" Target="https://socialprotection.org/connect/communities/social-protection-responses-covid-19-task-for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ocialprotection.org/sites/default/files/socialprotection_org_Annual_Report_2020.pdf" TargetMode="External"/><Relationship Id="rId26" Type="http://schemas.openxmlformats.org/officeDocument/2006/relationships/hyperlink" Target="https://www.calpnetwork.org/themes/cva-and-covid-19-resources-guidance-events-and-questions/" TargetMode="External"/><Relationship Id="rId25" Type="http://schemas.openxmlformats.org/officeDocument/2006/relationships/hyperlink" Target="https://www.calpnetwork.org/themes/cva-and-covid-19-resources-guidance-events-and-questions/" TargetMode="External"/><Relationship Id="rId28" Type="http://schemas.openxmlformats.org/officeDocument/2006/relationships/hyperlink" Target="https://cash-hub.org/resources/cash-and-covid-19" TargetMode="External"/><Relationship Id="rId27" Type="http://schemas.openxmlformats.org/officeDocument/2006/relationships/hyperlink" Target="https://www.calpnetwork.org/wp-content/uploads/2020/03/CaLP-summary-guidance-version-5-16-April-2020_.pdf" TargetMode="External"/><Relationship Id="rId5" Type="http://schemas.openxmlformats.org/officeDocument/2006/relationships/styles" Target="styles.xml"/><Relationship Id="rId6" Type="http://schemas.openxmlformats.org/officeDocument/2006/relationships/hyperlink" Target="https://doi.org/10.2499/p15738coll2.134010" TargetMode="External"/><Relationship Id="rId29" Type="http://schemas.openxmlformats.org/officeDocument/2006/relationships/hyperlink" Target="https://r1.dotmailer-surveys.com/4952l7ad-074f9u4b" TargetMode="External"/><Relationship Id="rId7" Type="http://schemas.openxmlformats.org/officeDocument/2006/relationships/hyperlink" Target="https://doi.org/10.2499/p15738coll2.134050" TargetMode="External"/><Relationship Id="rId8" Type="http://schemas.openxmlformats.org/officeDocument/2006/relationships/hyperlink" Target="https://www.unicef.org/media/84086/file/Core%20Commitments%20for%20Children%20(English).pdf" TargetMode="External"/><Relationship Id="rId31" Type="http://schemas.openxmlformats.org/officeDocument/2006/relationships/hyperlink" Target="https://www.google.com/url?sa=D&amp;q=https://transfer.cpc.unc.edu/cash-transfers-covid-19/%3Futm_source%3DTransfer%2BProject%2BNewsletter%26utm_campaign%3Ddf0f757bb9-&amp;ust=1604636220000000&amp;usg=AOvVaw3KeW0loVGqnK8xI3-95T9A&amp;hl=en" TargetMode="External"/><Relationship Id="rId30" Type="http://schemas.openxmlformats.org/officeDocument/2006/relationships/hyperlink" Target="https://transfer.cpc.unc.edu/the-transfer-project/" TargetMode="External"/><Relationship Id="rId11" Type="http://schemas.openxmlformats.org/officeDocument/2006/relationships/hyperlink" Target="https://www.keyaidconsulting.com/portfolio/dfid-contributing-to-humanitarian-reform-through-cash-programming-scale-up/" TargetMode="External"/><Relationship Id="rId33" Type="http://schemas.openxmlformats.org/officeDocument/2006/relationships/hyperlink" Target="https://www.ugogentilini.net/" TargetMode="External"/><Relationship Id="rId10" Type="http://schemas.openxmlformats.org/officeDocument/2006/relationships/hyperlink" Target="https://socialprotection.org/newsletters" TargetMode="External"/><Relationship Id="rId32" Type="http://schemas.openxmlformats.org/officeDocument/2006/relationships/hyperlink" Target="https://www.collaborativecash.org/social-protection-working-group" TargetMode="External"/><Relationship Id="rId13" Type="http://schemas.openxmlformats.org/officeDocument/2006/relationships/hyperlink" Target="https://www.mdn.gov.mm/en/cash-aids-provided-flood-victims-gangaw-tsp" TargetMode="External"/><Relationship Id="rId12" Type="http://schemas.openxmlformats.org/officeDocument/2006/relationships/hyperlink" Target="https://www.keyaidconsulting.com/portfolio/dfid-contributing-to-humanitarian-reform-through-cash-programming-scale-up/" TargetMode="External"/><Relationship Id="rId15" Type="http://schemas.openxmlformats.org/officeDocument/2006/relationships/hyperlink" Target="http://www.fao.org/myanmar/news/detail-events/en/c/1321101/" TargetMode="External"/><Relationship Id="rId14" Type="http://schemas.openxmlformats.org/officeDocument/2006/relationships/hyperlink" Target="https://www.mdn.gov.mm/my/rkhiungpnnyny-meaangtteaamiunyttng-punmnwngngemriseaa-akhekhnaimtheaangcu-13860-cuaaa" TargetMode="External"/><Relationship Id="rId17" Type="http://schemas.openxmlformats.org/officeDocument/2006/relationships/hyperlink" Target="https://www.imf.org/en/Topics/imf-and-covid19/Policy-Responses-to-COVID-19" TargetMode="External"/><Relationship Id="rId16" Type="http://schemas.openxmlformats.org/officeDocument/2006/relationships/hyperlink" Target="https://drive.google.com/file/d/14fd9FMcm9ueDsfnLLJPyPOrNk9Ml0KpC/view" TargetMode="External"/><Relationship Id="rId19" Type="http://schemas.openxmlformats.org/officeDocument/2006/relationships/hyperlink" Target="https://www.youtube.com/watch?v=UcRWeWCmhHI&amp;feature=youtu.be" TargetMode="External"/><Relationship Id="rId18" Type="http://schemas.openxmlformats.org/officeDocument/2006/relationships/hyperlink" Target="https://www.youtube.com/watch?v=kG4dny2mZRM&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