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#17  (30 January  - 05 February 2021)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r w:rsidDel="00000000" w:rsidR="00000000" w:rsidRPr="00000000">
              <w:rPr>
                <w:rtl w:val="0"/>
              </w:rPr>
            </w:r>
          </w:p>
          <w:p w:rsidR="00000000" w:rsidDel="00000000" w:rsidP="00000000" w:rsidRDefault="00000000" w:rsidRPr="00000000" w14:paraId="00000005">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w:t>
            </w:r>
          </w:p>
          <w:p w:rsidR="00000000" w:rsidDel="00000000" w:rsidP="00000000" w:rsidRDefault="00000000" w:rsidRPr="00000000" w14:paraId="00000006">
            <w:pPr>
              <w:pageBreakBefore w:val="0"/>
              <w:widowControl w:val="0"/>
              <w:numPr>
                <w:ilvl w:val="0"/>
                <w:numId w:val="1"/>
              </w:numPr>
              <w:shd w:fill="ffffff" w:val="clear"/>
              <w:spacing w:line="276" w:lineRule="auto"/>
              <w:ind w:left="720" w:hanging="360"/>
              <w:jc w:val="both"/>
              <w:rPr>
                <w:rFonts w:ascii="Calibri" w:cs="Calibri" w:eastAsia="Calibri" w:hAnsi="Calibri"/>
                <w:color w:val="202020"/>
                <w:sz w:val="20"/>
                <w:szCs w:val="20"/>
                <w:highlight w:val="white"/>
                <w:u w:val="none"/>
              </w:rPr>
            </w:pPr>
            <w:r w:rsidDel="00000000" w:rsidR="00000000" w:rsidRPr="00000000">
              <w:rPr>
                <w:rFonts w:ascii="Calibri" w:cs="Calibri" w:eastAsia="Calibri" w:hAnsi="Calibri"/>
                <w:color w:val="202020"/>
                <w:sz w:val="20"/>
                <w:szCs w:val="20"/>
                <w:highlight w:val="white"/>
                <w:rtl w:val="0"/>
              </w:rPr>
              <w:t xml:space="preserve">IFPRI has published</w:t>
            </w:r>
            <w:hyperlink r:id="rId6">
              <w:r w:rsidDel="00000000" w:rsidR="00000000" w:rsidRPr="00000000">
                <w:rPr>
                  <w:rFonts w:ascii="Calibri" w:cs="Calibri" w:eastAsia="Calibri" w:hAnsi="Calibri"/>
                  <w:color w:val="1155cc"/>
                  <w:sz w:val="20"/>
                  <w:szCs w:val="20"/>
                  <w:highlight w:val="white"/>
                  <w:u w:val="single"/>
                  <w:rtl w:val="0"/>
                </w:rPr>
                <w:t xml:space="preserve"> </w:t>
              </w:r>
            </w:hyperlink>
            <w:hyperlink r:id="rId7">
              <w:r w:rsidDel="00000000" w:rsidR="00000000" w:rsidRPr="00000000">
                <w:rPr>
                  <w:rFonts w:ascii="Calibri" w:cs="Calibri" w:eastAsia="Calibri" w:hAnsi="Calibri"/>
                  <w:b w:val="1"/>
                  <w:color w:val="1155cc"/>
                  <w:sz w:val="20"/>
                  <w:szCs w:val="20"/>
                  <w:highlight w:val="white"/>
                  <w:u w:val="single"/>
                  <w:rtl w:val="0"/>
                </w:rPr>
                <w:t xml:space="preserve">Monitoring the impact of COVID-19 in Myanmar: Mechanization service providers - December 2020 survey round</w:t>
              </w:r>
            </w:hyperlink>
            <w:r w:rsidDel="00000000" w:rsidR="00000000" w:rsidRPr="00000000">
              <w:rPr>
                <w:rFonts w:ascii="Calibri" w:cs="Calibri" w:eastAsia="Calibri" w:hAnsi="Calibri"/>
                <w:sz w:val="20"/>
                <w:szCs w:val="20"/>
                <w:highlight w:val="white"/>
                <w:rtl w:val="0"/>
              </w:rPr>
              <w:t xml:space="preserve">. The policy note is </w:t>
            </w:r>
            <w:r w:rsidDel="00000000" w:rsidR="00000000" w:rsidRPr="00000000">
              <w:rPr>
                <w:rFonts w:ascii="Calibri" w:cs="Calibri" w:eastAsia="Calibri" w:hAnsi="Calibri"/>
                <w:sz w:val="20"/>
                <w:szCs w:val="20"/>
                <w:rtl w:val="0"/>
              </w:rPr>
              <w:t xml:space="preserve">to determine how their businesses were being affected by COVID-19 related restrictions. The results of those surveys were published in Myanmar Strategy Support Program Policy Notes 07, 12, 17, and 39, respectively. To trace the continuing impact of the COVID-19 pandemic on their economic activities, a fifth phone survey of MSPs was done in mid-December 2020, administered mostly to SPs in harvesting activities. This Note reports on the results of the fifth survey, as well as on some trends from the earlier surveys.</w:t>
            </w:r>
            <w:r w:rsidDel="00000000" w:rsidR="00000000" w:rsidRPr="00000000">
              <w:rPr>
                <w:rtl w:val="0"/>
              </w:rPr>
            </w:r>
          </w:p>
          <w:p w:rsidR="00000000" w:rsidDel="00000000" w:rsidP="00000000" w:rsidRDefault="00000000" w:rsidRPr="00000000" w14:paraId="00000007">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u w:val="single"/>
                <w:rtl w:val="0"/>
              </w:rPr>
              <w:t xml:space="preserve">In General:</w:t>
            </w:r>
            <w:r w:rsidDel="00000000" w:rsidR="00000000" w:rsidRPr="00000000">
              <w:rPr>
                <w:rtl w:val="0"/>
              </w:rPr>
            </w:r>
          </w:p>
          <w:p w:rsidR="00000000" w:rsidDel="00000000" w:rsidP="00000000" w:rsidRDefault="00000000" w:rsidRPr="00000000" w14:paraId="00000008">
            <w:pPr>
              <w:pageBreakBefore w:val="0"/>
              <w:widowControl w:val="0"/>
              <w:shd w:fill="ffffff" w:val="clear"/>
              <w:spacing w:line="360" w:lineRule="auto"/>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Publications: </w:t>
            </w:r>
          </w:p>
          <w:p w:rsidR="00000000" w:rsidDel="00000000" w:rsidP="00000000" w:rsidRDefault="00000000" w:rsidRPr="00000000" w14:paraId="00000009">
            <w:pPr>
              <w:pageBreakBefore w:val="0"/>
              <w:widowControl w:val="0"/>
              <w:numPr>
                <w:ilvl w:val="0"/>
                <w:numId w:val="8"/>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A recent report and policy brief by Kiza Magendane, Mariëlle Karssenberg and Yannicke Goris for The Broker discusses how, and to what extent, cash transfers can be an effective way of realizing food security in fragile settings. The paper, which you can find here, highlights a number of examples of the link between humanitarian cash transfers and social protection. For those interested in a policy perspective you can find the policy brief</w:t>
            </w:r>
            <w:hyperlink r:id="rId8">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A">
            <w:pPr>
              <w:pageBreakBefore w:val="0"/>
              <w:widowControl w:val="0"/>
              <w:numPr>
                <w:ilvl w:val="0"/>
                <w:numId w:val="8"/>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Joint research by the Durable Solutions Platform and CAMEALEON </w:t>
            </w:r>
            <w:hyperlink r:id="rId9">
              <w:r w:rsidDel="00000000" w:rsidR="00000000" w:rsidRPr="00000000">
                <w:rPr>
                  <w:rFonts w:ascii="Calibri" w:cs="Calibri" w:eastAsia="Calibri" w:hAnsi="Calibri"/>
                  <w:color w:val="1155cc"/>
                  <w:sz w:val="20"/>
                  <w:szCs w:val="20"/>
                  <w:highlight w:val="white"/>
                  <w:u w:val="single"/>
                  <w:rtl w:val="0"/>
                </w:rPr>
                <w:t xml:space="preserve">Pinning Down Moving Targets</w:t>
              </w:r>
            </w:hyperlink>
            <w:r w:rsidDel="00000000" w:rsidR="00000000" w:rsidRPr="00000000">
              <w:rPr>
                <w:rFonts w:ascii="Calibri" w:cs="Calibri" w:eastAsia="Calibri" w:hAnsi="Calibri"/>
                <w:color w:val="222222"/>
                <w:sz w:val="20"/>
                <w:szCs w:val="20"/>
                <w:highlight w:val="white"/>
                <w:rtl w:val="0"/>
              </w:rPr>
              <w:t xml:space="preserve"> looks at adapting humanitarian cash transfer programmes to the multi-pronged crisis in Lebanon. The research intends, in part, to capture learning, not only to help equip the Lebanon refugee response going forward in a difficult operational and socio-economic climate, but also to contribute to global learning about cash programme adaptations to economic and health crises and to do so in a manner that supports future sustainability of social protection systems. The additional </w:t>
            </w:r>
            <w:hyperlink r:id="rId10">
              <w:r w:rsidDel="00000000" w:rsidR="00000000" w:rsidRPr="00000000">
                <w:rPr>
                  <w:rFonts w:ascii="Calibri" w:cs="Calibri" w:eastAsia="Calibri" w:hAnsi="Calibri"/>
                  <w:color w:val="1155cc"/>
                  <w:sz w:val="20"/>
                  <w:szCs w:val="20"/>
                  <w:highlight w:val="white"/>
                  <w:u w:val="single"/>
                  <w:rtl w:val="0"/>
                </w:rPr>
                <w:t xml:space="preserve">research note</w:t>
              </w:r>
            </w:hyperlink>
            <w:r w:rsidDel="00000000" w:rsidR="00000000" w:rsidRPr="00000000">
              <w:rPr>
                <w:rFonts w:ascii="Calibri" w:cs="Calibri" w:eastAsia="Calibri" w:hAnsi="Calibri"/>
                <w:color w:val="222222"/>
                <w:sz w:val="20"/>
                <w:szCs w:val="20"/>
                <w:highlight w:val="white"/>
                <w:rtl w:val="0"/>
              </w:rPr>
              <w:t xml:space="preserve"> also highlights medium-term priorities for cash assistance in the country.</w:t>
            </w:r>
          </w:p>
          <w:p w:rsidR="00000000" w:rsidDel="00000000" w:rsidP="00000000" w:rsidRDefault="00000000" w:rsidRPr="00000000" w14:paraId="0000000B">
            <w:pPr>
              <w:pageBreakBefore w:val="0"/>
              <w:widowControl w:val="0"/>
              <w:shd w:fill="ffffff" w:val="clear"/>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Guidance:</w:t>
            </w:r>
          </w:p>
          <w:p w:rsidR="00000000" w:rsidDel="00000000" w:rsidP="00000000" w:rsidRDefault="00000000" w:rsidRPr="00000000" w14:paraId="0000000C">
            <w:pPr>
              <w:pageBreakBefore w:val="0"/>
              <w:widowControl w:val="0"/>
              <w:numPr>
                <w:ilvl w:val="0"/>
                <w:numId w:val="9"/>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British Red Cross has released its recently updated Household Economic Security (HES) Technical Guidance for Assessment and Analysis. The guidance highlights a number of places where and how linkages can be made with humanitarian food security and livelihood interventions (including those involving cash transfers) and social protection. You can access it </w:t>
            </w:r>
            <w:hyperlink r:id="rId11">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0D">
            <w:pPr>
              <w:pageBreakBefore w:val="0"/>
              <w:widowControl w:val="0"/>
              <w:shd w:fill="ffffff" w:val="clear"/>
              <w:ind w:left="0" w:firstLine="0"/>
              <w:jc w:val="both"/>
              <w:rPr>
                <w:rFonts w:ascii="Calibri" w:cs="Calibri" w:eastAsia="Calibri" w:hAnsi="Calibri"/>
                <w:color w:val="222222"/>
                <w:sz w:val="20"/>
                <w:szCs w:val="20"/>
                <w:highlight w:val="white"/>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F">
            <w:pPr>
              <w:pageBreakBefore w:val="0"/>
              <w:numPr>
                <w:ilvl w:val="0"/>
                <w:numId w:val="4"/>
              </w:numPr>
              <w:shd w:fill="ffffff" w:val="clear"/>
              <w:spacing w:line="240" w:lineRule="auto"/>
              <w:ind w:left="720" w:hanging="360"/>
              <w:jc w:val="both"/>
              <w:rPr/>
            </w:pPr>
            <w:r w:rsidDel="00000000" w:rsidR="00000000" w:rsidRPr="00000000">
              <w:rPr>
                <w:rFonts w:ascii="Calibri" w:cs="Calibri" w:eastAsia="Calibri" w:hAnsi="Calibri"/>
                <w:sz w:val="20"/>
                <w:szCs w:val="20"/>
                <w:rtl w:val="0"/>
              </w:rPr>
              <w:t xml:space="preserve">The Myanmar Tourism Bank (MTB) will be providing financial assistance to tour companies who are struggling with the ongoing Covid-19 crisis. The MTB to sign the MOU with the Union Myanmar Tourism Association (UMTA) to provide loans for association’s members who are badly affected by the pandemic. </w:t>
            </w:r>
            <w:hyperlink r:id="rId12">
              <w:r w:rsidDel="00000000" w:rsidR="00000000" w:rsidRPr="00000000">
                <w:rPr>
                  <w:rFonts w:ascii="Calibri" w:cs="Calibri" w:eastAsia="Calibri" w:hAnsi="Calibri"/>
                  <w:color w:val="1155cc"/>
                  <w:sz w:val="20"/>
                  <w:szCs w:val="20"/>
                  <w:u w:val="single"/>
                  <w:rtl w:val="0"/>
                </w:rPr>
                <w:t xml:space="preserve">Read the news here</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numPr>
                <w:ilvl w:val="0"/>
                <w:numId w:val="10"/>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13">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r w:rsidDel="00000000" w:rsidR="00000000" w:rsidRPr="00000000">
              <w:rPr>
                <w:rtl w:val="0"/>
              </w:rPr>
            </w:r>
          </w:p>
          <w:p w:rsidR="00000000" w:rsidDel="00000000" w:rsidP="00000000" w:rsidRDefault="00000000" w:rsidRPr="00000000" w14:paraId="00000012">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13">
            <w:pPr>
              <w:pageBreakBefore w:val="0"/>
              <w:widowControl w:val="0"/>
              <w:numPr>
                <w:ilvl w:val="0"/>
                <w:numId w:val="5"/>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Myanmar Cash Working Group is updating the countrywide “Who does What, Where, When (4W)” information in order to provide new and updated 4W reports and maps. We would be grateful if you could provide the information to </w:t>
            </w:r>
            <w:r w:rsidDel="00000000" w:rsidR="00000000" w:rsidRPr="00000000">
              <w:rPr>
                <w:rFonts w:ascii="Calibri" w:cs="Calibri" w:eastAsia="Calibri" w:hAnsi="Calibri"/>
                <w:b w:val="1"/>
                <w:color w:val="222222"/>
                <w:sz w:val="20"/>
                <w:szCs w:val="20"/>
                <w:highlight w:val="white"/>
                <w:rtl w:val="0"/>
              </w:rPr>
              <w:t xml:space="preserve">OCHA Myanmar (ochamyanmar@un.org).</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color w:val="0e101a"/>
                <w:sz w:val="20"/>
                <w:szCs w:val="20"/>
                <w:highlight w:val="white"/>
                <w:rtl w:val="0"/>
              </w:rPr>
              <w:t xml:space="preserve">If you have any questions/queries, please do not hesitate to contact </w:t>
            </w:r>
            <w:r w:rsidDel="00000000" w:rsidR="00000000" w:rsidRPr="00000000">
              <w:rPr>
                <w:rFonts w:ascii="Calibri" w:cs="Calibri" w:eastAsia="Calibri" w:hAnsi="Calibri"/>
                <w:b w:val="1"/>
                <w:color w:val="0e101a"/>
                <w:sz w:val="20"/>
                <w:szCs w:val="20"/>
                <w:highlight w:val="white"/>
                <w:rtl w:val="0"/>
              </w:rPr>
              <w:t xml:space="preserve">Ma Moh Moh Htet Kyaw </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1155cc"/>
                <w:sz w:val="20"/>
                <w:szCs w:val="20"/>
                <w:highlight w:val="white"/>
                <w:rtl w:val="0"/>
              </w:rPr>
              <w:t xml:space="preserve">mokyaw@mercycorps.org</w:t>
            </w:r>
            <w:r w:rsidDel="00000000" w:rsidR="00000000" w:rsidRPr="00000000">
              <w:rPr>
                <w:rFonts w:ascii="Calibri" w:cs="Calibri" w:eastAsia="Calibri" w:hAnsi="Calibri"/>
                <w:color w:val="0e101a"/>
                <w:sz w:val="20"/>
                <w:szCs w:val="20"/>
                <w:highlight w:val="white"/>
                <w:rtl w:val="0"/>
              </w:rPr>
              <w:t xml:space="preserve">).</w:t>
            </w:r>
            <w:r w:rsidDel="00000000" w:rsidR="00000000" w:rsidRPr="00000000">
              <w:rPr>
                <w:rFonts w:ascii="Calibri" w:cs="Calibri" w:eastAsia="Calibri" w:hAnsi="Calibri"/>
                <w:color w:val="222222"/>
                <w:sz w:val="20"/>
                <w:szCs w:val="20"/>
                <w:highlight w:val="white"/>
                <w:rtl w:val="0"/>
              </w:rPr>
              <w:t xml:space="preserve"> </w:t>
            </w:r>
            <w:hyperlink r:id="rId14">
              <w:r w:rsidDel="00000000" w:rsidR="00000000" w:rsidRPr="00000000">
                <w:rPr>
                  <w:rFonts w:ascii="Calibri" w:cs="Calibri" w:eastAsia="Calibri" w:hAnsi="Calibri"/>
                  <w:color w:val="1155cc"/>
                  <w:sz w:val="20"/>
                  <w:szCs w:val="20"/>
                  <w:highlight w:val="white"/>
                  <w:u w:val="single"/>
                  <w:rtl w:val="0"/>
                </w:rPr>
                <w:t xml:space="preserve">4W link here</w:t>
              </w:r>
            </w:hyperlink>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p>
          <w:p w:rsidR="00000000" w:rsidDel="00000000" w:rsidP="00000000" w:rsidRDefault="00000000" w:rsidRPr="00000000" w14:paraId="00000016">
            <w:pPr>
              <w:pageBreakBefore w:val="0"/>
              <w:widowControl w:val="0"/>
              <w:numPr>
                <w:ilvl w:val="0"/>
                <w:numId w:val="6"/>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recent Economic Policy Research Institute's (EPRI) Global Webinar: Coordinating Shock-Responsive Social Protection Systems in Humanitarian Settings considered some of the opportunities and challenges in relation to coordination between humanitarian and development actors, moving onto a discussion on the objectives of coordination, and the inputs, outputs and outcomes associated with this. </w:t>
            </w:r>
            <w:hyperlink r:id="rId15">
              <w:r w:rsidDel="00000000" w:rsidR="00000000" w:rsidRPr="00000000">
                <w:rPr>
                  <w:rFonts w:ascii="Calibri" w:cs="Calibri" w:eastAsia="Calibri" w:hAnsi="Calibri"/>
                  <w:color w:val="1155cc"/>
                  <w:sz w:val="20"/>
                  <w:szCs w:val="20"/>
                  <w:highlight w:val="white"/>
                  <w:u w:val="single"/>
                  <w:rtl w:val="0"/>
                </w:rPr>
                <w:t xml:space="preserve">Click here to access the webinar recording</w:t>
              </w:r>
            </w:hyperlink>
            <w:r w:rsidDel="00000000" w:rsidR="00000000" w:rsidRPr="00000000">
              <w:rPr>
                <w:rFonts w:ascii="Calibri" w:cs="Calibri" w:eastAsia="Calibri" w:hAnsi="Calibri"/>
                <w:color w:val="222222"/>
                <w:sz w:val="20"/>
                <w:szCs w:val="20"/>
                <w:highlight w:val="white"/>
                <w:rtl w:val="0"/>
              </w:rPr>
              <w:t xml:space="preserve">. </w:t>
            </w:r>
            <w:hyperlink r:id="rId16">
              <w:r w:rsidDel="00000000" w:rsidR="00000000" w:rsidRPr="00000000">
                <w:rPr>
                  <w:rFonts w:ascii="Calibri" w:cs="Calibri" w:eastAsia="Calibri" w:hAnsi="Calibri"/>
                  <w:color w:val="1155cc"/>
                  <w:sz w:val="20"/>
                  <w:szCs w:val="20"/>
                  <w:highlight w:val="white"/>
                  <w:u w:val="single"/>
                  <w:rtl w:val="0"/>
                </w:rPr>
                <w:t xml:space="preserve">Click here to access the webinar presentation.</w:t>
              </w:r>
            </w:hyperlink>
            <w:r w:rsidDel="00000000" w:rsidR="00000000" w:rsidRPr="00000000">
              <w:rPr>
                <w:rtl w:val="0"/>
              </w:rPr>
            </w:r>
          </w:p>
          <w:p w:rsidR="00000000" w:rsidDel="00000000" w:rsidP="00000000" w:rsidRDefault="00000000" w:rsidRPr="00000000" w14:paraId="00000017">
            <w:pPr>
              <w:pageBreakBefore w:val="0"/>
              <w:widowControl w:val="0"/>
              <w:numPr>
                <w:ilvl w:val="0"/>
                <w:numId w:val="6"/>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Funded through </w:t>
            </w:r>
            <w:hyperlink r:id="rId17">
              <w:r w:rsidDel="00000000" w:rsidR="00000000" w:rsidRPr="00000000">
                <w:rPr>
                  <w:rFonts w:ascii="Calibri" w:cs="Calibri" w:eastAsia="Calibri" w:hAnsi="Calibri"/>
                  <w:color w:val="1155cc"/>
                  <w:sz w:val="20"/>
                  <w:szCs w:val="20"/>
                  <w:highlight w:val="white"/>
                  <w:u w:val="single"/>
                  <w:rtl w:val="0"/>
                </w:rPr>
                <w:t xml:space="preserve">IDEAL's Small Grants Program</w:t>
              </w:r>
            </w:hyperlink>
            <w:r w:rsidDel="00000000" w:rsidR="00000000" w:rsidRPr="00000000">
              <w:rPr>
                <w:rFonts w:ascii="Calibri" w:cs="Calibri" w:eastAsia="Calibri" w:hAnsi="Calibri"/>
                <w:color w:val="222222"/>
                <w:sz w:val="20"/>
                <w:szCs w:val="20"/>
                <w:highlight w:val="white"/>
                <w:rtl w:val="0"/>
              </w:rPr>
              <w:t xml:space="preserve">,” CARE’s recent webinar asking “How can the design, implementation, and monitoring processes of projects using a combination of modalities maximize gender outcomes?” addressed how front-line practitioners can use the findings of a recent study on the subject (find the link in the section below) in the design, implementation, and evaluation of similar projects. Additionally, the webinar discussed what more we need to know to meet the needs of communities through multi-modal responses. You can find the recording </w:t>
            </w:r>
            <w:hyperlink r:id="rId18">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18">
            <w:pPr>
              <w:pageBreakBefore w:val="0"/>
              <w:widowControl w:val="0"/>
              <w:shd w:fill="ffffff" w:val="clear"/>
              <w:spacing w:line="36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Upcoming webinars and events:</w:t>
            </w:r>
          </w:p>
          <w:p w:rsidR="00000000" w:rsidDel="00000000" w:rsidP="00000000" w:rsidRDefault="00000000" w:rsidRPr="00000000" w14:paraId="00000019">
            <w:pPr>
              <w:pageBreakBefore w:val="0"/>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60" w:line="397.2413793103448"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w:t>
            </w:r>
            <w:r w:rsidDel="00000000" w:rsidR="00000000" w:rsidRPr="00000000">
              <w:rPr>
                <w:rFonts w:ascii="Calibri" w:cs="Calibri" w:eastAsia="Calibri" w:hAnsi="Calibri"/>
                <w:b w:val="1"/>
                <w:sz w:val="20"/>
                <w:szCs w:val="20"/>
                <w:highlight w:val="white"/>
                <w:rtl w:val="0"/>
              </w:rPr>
              <w:t xml:space="preserve">US &amp; Canada Cash WG meeting</w:t>
            </w:r>
            <w:r w:rsidDel="00000000" w:rsidR="00000000" w:rsidRPr="00000000">
              <w:rPr>
                <w:rFonts w:ascii="Calibri" w:cs="Calibri" w:eastAsia="Calibri" w:hAnsi="Calibri"/>
                <w:sz w:val="20"/>
                <w:szCs w:val="20"/>
                <w:highlight w:val="white"/>
                <w:rtl w:val="0"/>
              </w:rPr>
              <w:t xml:space="preserve"> will convene its first 2021 meeting to share learning from rapid adaptations made as a result of the pandemic. If you are interested in sharing your experiences in a brief 5 minute presentation, please send a description to </w:t>
            </w:r>
            <w:r w:rsidDel="00000000" w:rsidR="00000000" w:rsidRPr="00000000">
              <w:rPr>
                <w:rFonts w:ascii="Calibri" w:cs="Calibri" w:eastAsia="Calibri" w:hAnsi="Calibri"/>
                <w:b w:val="1"/>
                <w:sz w:val="20"/>
                <w:szCs w:val="20"/>
                <w:highlight w:val="white"/>
                <w:rtl w:val="0"/>
              </w:rPr>
              <w:t xml:space="preserve">lynn.yoshikawa@calpnetwork.org</w:t>
            </w:r>
            <w:r w:rsidDel="00000000" w:rsidR="00000000" w:rsidRPr="00000000">
              <w:rPr>
                <w:rFonts w:ascii="Calibri" w:cs="Calibri" w:eastAsia="Calibri" w:hAnsi="Calibri"/>
                <w:sz w:val="20"/>
                <w:szCs w:val="20"/>
                <w:highlight w:val="white"/>
                <w:rtl w:val="0"/>
              </w:rPr>
              <w:t xml:space="preserve"> by </w:t>
            </w:r>
            <w:r w:rsidDel="00000000" w:rsidR="00000000" w:rsidRPr="00000000">
              <w:rPr>
                <w:rFonts w:ascii="Calibri" w:cs="Calibri" w:eastAsia="Calibri" w:hAnsi="Calibri"/>
                <w:b w:val="1"/>
                <w:sz w:val="20"/>
                <w:szCs w:val="20"/>
                <w:highlight w:val="white"/>
                <w:u w:val="single"/>
                <w:rtl w:val="0"/>
              </w:rPr>
              <w:t xml:space="preserve">COB 10 February</w:t>
            </w:r>
            <w:r w:rsidDel="00000000" w:rsidR="00000000" w:rsidRPr="00000000">
              <w:rPr>
                <w:rFonts w:ascii="Calibri" w:cs="Calibri" w:eastAsia="Calibri" w:hAnsi="Calibri"/>
                <w:sz w:val="20"/>
                <w:szCs w:val="20"/>
                <w:highlight w:val="white"/>
                <w:rtl w:val="0"/>
              </w:rPr>
              <w:t xml:space="preserve">.The final agenda and meeting link will be shared with those who RSVP.</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hyperlink r:id="rId19">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20">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21">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22">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1C">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23">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24">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1D">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25">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050505"/>
                <w:sz w:val="20"/>
                <w:szCs w:val="20"/>
                <w:highlight w:val="white"/>
                <w:rtl w:val="0"/>
              </w:rPr>
              <w:t xml:space="preserve"> in English and Spanish.</w:t>
            </w:r>
          </w:p>
          <w:p w:rsidR="00000000" w:rsidDel="00000000" w:rsidP="00000000" w:rsidRDefault="00000000" w:rsidRPr="00000000" w14:paraId="0000001E">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26">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1F">
            <w:pPr>
              <w:pageBreakBefore w:val="0"/>
              <w:widowControl w:val="0"/>
              <w:numPr>
                <w:ilvl w:val="0"/>
                <w:numId w:val="7"/>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27">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20">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1">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28">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 </w:t>
            </w:r>
          </w:p>
          <w:p w:rsidR="00000000" w:rsidDel="00000000" w:rsidP="00000000" w:rsidRDefault="00000000" w:rsidRPr="00000000" w14:paraId="00000022">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29">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30">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31">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23">
            <w:pPr>
              <w:pageBreakBefore w:val="0"/>
              <w:widowControl w:val="0"/>
              <w:numPr>
                <w:ilvl w:val="0"/>
                <w:numId w:val="2"/>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32">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before="17.39013671875" w:line="360" w:lineRule="auto"/>
              <w:ind w:left="0" w:right="59.459228515625" w:firstLine="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5">
      <w:pPr>
        <w:pageBreakBefore w:val="0"/>
        <w:spacing w:line="360" w:lineRule="auto"/>
        <w:jc w:val="both"/>
        <w:rPr/>
      </w:pPr>
      <w:r w:rsidDel="00000000" w:rsidR="00000000" w:rsidRPr="00000000">
        <w:rPr>
          <w:rtl w:val="0"/>
        </w:rPr>
      </w:r>
    </w:p>
    <w:p w:rsidR="00000000" w:rsidDel="00000000" w:rsidP="00000000" w:rsidRDefault="00000000" w:rsidRPr="00000000" w14:paraId="00000026">
      <w:pPr>
        <w:pageBreakBefore w:val="0"/>
        <w:spacing w:line="360" w:lineRule="auto"/>
        <w:jc w:val="both"/>
        <w:rPr/>
      </w:pPr>
      <w:r w:rsidDel="00000000" w:rsidR="00000000" w:rsidRPr="00000000">
        <w:rPr>
          <w:rtl w:val="0"/>
        </w:rPr>
      </w:r>
    </w:p>
    <w:p w:rsidR="00000000" w:rsidDel="00000000" w:rsidP="00000000" w:rsidRDefault="00000000" w:rsidRPr="00000000" w14:paraId="00000027">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ocialprotection.org/connect/communities/social-protection-responses-covid-19-task-force" TargetMode="External"/><Relationship Id="rId22" Type="http://schemas.openxmlformats.org/officeDocument/2006/relationships/hyperlink" Target="https://www.calpnetwork.org/themes/cva-and-covid-19-resources-guidance-events-and-questions/" TargetMode="External"/><Relationship Id="rId21" Type="http://schemas.openxmlformats.org/officeDocument/2006/relationships/hyperlink" Target="https://socialprotection.org/connect/communities/social-protection-crisis-contexts" TargetMode="External"/><Relationship Id="rId24" Type="http://schemas.openxmlformats.org/officeDocument/2006/relationships/hyperlink" Target="https://www.calpnetwork.org/wp-content/uploads/2020/03/CaLP-summary-guidance-version-5-16-April-2020_.pdf" TargetMode="External"/><Relationship Id="rId23" Type="http://schemas.openxmlformats.org/officeDocument/2006/relationships/hyperlink" Target="https://www.calpnetwork.org/themes/cva-and-covid-19-resources-guidance-events-and-ques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sp-syria.org/sites/default/files/2021-01/DSP-CAMEALEON%20report.pdf" TargetMode="External"/><Relationship Id="rId26" Type="http://schemas.openxmlformats.org/officeDocument/2006/relationships/hyperlink" Target="https://r1.dotmailer-surveys.com/4952l7ad-074f9u4b" TargetMode="External"/><Relationship Id="rId25" Type="http://schemas.openxmlformats.org/officeDocument/2006/relationships/hyperlink" Target="https://cash-hub.org/resources/cash-and-covid-19" TargetMode="External"/><Relationship Id="rId28" Type="http://schemas.openxmlformats.org/officeDocument/2006/relationships/hyperlink" Target="https://www.collaborativecash.org/social-protection-working-group" TargetMode="External"/><Relationship Id="rId27" Type="http://schemas.openxmlformats.org/officeDocument/2006/relationships/hyperlink" Target="https://transfer.cpc.unc.edu/cash-transfers-covid-19/?utm_source=Transfer+Project+Newsletter&amp;utm_campaign=df0f757bb9-" TargetMode="External"/><Relationship Id="rId5" Type="http://schemas.openxmlformats.org/officeDocument/2006/relationships/styles" Target="styles.xml"/><Relationship Id="rId6" Type="http://schemas.openxmlformats.org/officeDocument/2006/relationships/hyperlink" Target="https://www.ifpri.org/publication/monitoring-impact-covid-19-myanmar-mechanization-service-providers-december-2020-survey" TargetMode="External"/><Relationship Id="rId29" Type="http://schemas.openxmlformats.org/officeDocument/2006/relationships/hyperlink" Target="https://socialprotection.org/linking-cash-and-voucher-assistance-and-social-protection-demystifying-entry-points-humanitarians" TargetMode="External"/><Relationship Id="rId7" Type="http://schemas.openxmlformats.org/officeDocument/2006/relationships/hyperlink" Target="https://www.ifpri.org/publication/monitoring-impact-covid-19-myanmar-mechanization-service-providers-december-2020-survey" TargetMode="External"/><Relationship Id="rId8" Type="http://schemas.openxmlformats.org/officeDocument/2006/relationships/hyperlink" Target="https://www.thebrokeronline.eu/wp-content/uploads/2021/01/Policy-brief_Cash-transfers-for-food-and-futures.pdf" TargetMode="External"/><Relationship Id="rId31" Type="http://schemas.openxmlformats.org/officeDocument/2006/relationships/hyperlink" Target="https://socialprotection.org/discover/blog/lessons-learned-and-opportunities-linking-social-protection-systems-humanitarian-cash" TargetMode="External"/><Relationship Id="rId30" Type="http://schemas.openxmlformats.org/officeDocument/2006/relationships/hyperlink" Target="https://socialprotection.org/how-can-social-protection-systems-respond-covid-19-crisis" TargetMode="External"/><Relationship Id="rId11" Type="http://schemas.openxmlformats.org/officeDocument/2006/relationships/hyperlink" Target="https://www.livelihoodscentre.org/-/household-economic-security-hes-.-technical-guidance-for-assessment-and-analysis?inheritRedirect=true&amp;redirect=https%3A%2F%2Fwww.livelihoodscentre.org%2Fhome%3Fp_p_id%3Dcom_liferay_portal_search_web_portlet_SearchPortlet%26p_p_lifecycle%3D0%26p_p_state%3Dmaximized%26p_p_mode%3Dview%26_com_liferay_portal_search_web_portlet_SearchPortlet_redirect%3Dhttps%253A%252F%252Fwww.livelihoodscentre.org%252Fhome%253Fp_p_id%26_com_liferay_portal_search_web_portlet_SearchPortlet_mvcPath%3D%252Fsearch.jsp%26_com_liferay_portal_search_web_portlet_SearchPortlet_keywords%3Dhes%26_com_liferay_portal_search_web_portlet_SearchPortlet_formDate%3D1611054419554%26_com_liferay_portal_search_web_portlet_SearchPortlet_scope%3Dthis-site" TargetMode="External"/><Relationship Id="rId10" Type="http://schemas.openxmlformats.org/officeDocument/2006/relationships/hyperlink" Target="https://dsp-syria.org/pinning-down-moving-targets-research-note" TargetMode="External"/><Relationship Id="rId32" Type="http://schemas.openxmlformats.org/officeDocument/2006/relationships/hyperlink" Target="https://www.ugogentilini.net/" TargetMode="External"/><Relationship Id="rId13" Type="http://schemas.openxmlformats.org/officeDocument/2006/relationships/hyperlink" Target="https://drive.google.com/file/d/14fd9FMcm9ueDsfnLLJPyPOrNk9Ml0KpC/view" TargetMode="External"/><Relationship Id="rId12" Type="http://schemas.openxmlformats.org/officeDocument/2006/relationships/hyperlink" Target="https://www.mmtimes.com/news/myanmar-tourism-bank-provide-loans-tour-companies.html" TargetMode="External"/><Relationship Id="rId15" Type="http://schemas.openxmlformats.org/officeDocument/2006/relationships/hyperlink" Target="https://www.dropbox.com/s/qkplmrqc7hbmgm7/EPRIGlobalWebinarCoordinatingSRSP20210121aTM.mp4?dl=0" TargetMode="External"/><Relationship Id="rId14" Type="http://schemas.openxmlformats.org/officeDocument/2006/relationships/hyperlink" Target="https://drive.google.com/file/d/1xgRxyHobMjHy18gOsD5xAgZLyKSN7t4U/view?usp=sharing" TargetMode="External"/><Relationship Id="rId17" Type="http://schemas.openxmlformats.org/officeDocument/2006/relationships/hyperlink" Target="https://www.fsnnetwork.org/grant" TargetMode="External"/><Relationship Id="rId16" Type="http://schemas.openxmlformats.org/officeDocument/2006/relationships/hyperlink" Target="https://www.dropbox.com/s/8z8zah7txnn5j0f/EPRIWebinarCoordinationAlongTheNexus20210118aNH.pdf?dl=0" TargetMode="External"/><Relationship Id="rId19" Type="http://schemas.openxmlformats.org/officeDocument/2006/relationships/hyperlink" Target="https://socialprotection.org/" TargetMode="External"/><Relationship Id="rId18" Type="http://schemas.openxmlformats.org/officeDocument/2006/relationships/hyperlink" Target="https://www.fsnnetwork.org/event/digital-learning-workshop-front-line-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