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#16  (17 January  - 29 January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Mercy Corps Myanmar published the </w:t>
            </w:r>
            <w:r w:rsidDel="00000000" w:rsidR="00000000" w:rsidRPr="00000000">
              <w:rPr>
                <w:rFonts w:ascii="Calibri" w:cs="Calibri" w:eastAsia="Calibri" w:hAnsi="Calibri"/>
                <w:color w:val="222222"/>
                <w:sz w:val="20"/>
                <w:szCs w:val="20"/>
                <w:highlight w:val="white"/>
                <w:rtl w:val="0"/>
              </w:rPr>
              <w:t xml:space="preserve">monthly market price report on 28 January 2021. This  report summarizes median product prices, based on data from three vendors per product per market. December data were gathered Dec. 29 – Dec. 31, 2020 in Maungdaw, Minbya, Mrauk U, Pauktaw, Ponnagyun, Rathedaung and Sittwe Townships. Data for September - November are also provided in section one for comparison across months. It highlights that </w:t>
            </w:r>
            <w:r w:rsidDel="00000000" w:rsidR="00000000" w:rsidRPr="00000000">
              <w:rPr>
                <w:rFonts w:ascii="Calibri" w:cs="Calibri" w:eastAsia="Calibri" w:hAnsi="Calibri"/>
                <w:b w:val="1"/>
                <w:color w:val="4d5057"/>
                <w:sz w:val="20"/>
                <w:szCs w:val="20"/>
                <w:highlight w:val="white"/>
                <w:rtl w:val="0"/>
              </w:rPr>
              <w:t xml:space="preserve">high- and low-quality rice in Pauktaw was 20-40% higher than most other townships</w:t>
            </w:r>
            <w:r w:rsidDel="00000000" w:rsidR="00000000" w:rsidRPr="00000000">
              <w:rPr>
                <w:rFonts w:ascii="Calibri" w:cs="Calibri" w:eastAsia="Calibri" w:hAnsi="Calibri"/>
                <w:color w:val="4d5057"/>
                <w:sz w:val="20"/>
                <w:szCs w:val="20"/>
                <w:highlight w:val="white"/>
                <w:rtl w:val="0"/>
              </w:rPr>
              <w:t xml:space="preserve"> in December and </w:t>
            </w:r>
            <w:r w:rsidDel="00000000" w:rsidR="00000000" w:rsidRPr="00000000">
              <w:rPr>
                <w:rFonts w:ascii="Calibri" w:cs="Calibri" w:eastAsia="Calibri" w:hAnsi="Calibri"/>
                <w:b w:val="1"/>
                <w:color w:val="4d5057"/>
                <w:sz w:val="20"/>
                <w:szCs w:val="20"/>
                <w:highlight w:val="white"/>
                <w:rtl w:val="0"/>
              </w:rPr>
              <w:t xml:space="preserve">vegetable prices were highest in Maungdaw and lowest in Minbya and Ponnagyun</w:t>
            </w:r>
            <w:r w:rsidDel="00000000" w:rsidR="00000000" w:rsidRPr="00000000">
              <w:rPr>
                <w:rFonts w:ascii="Calibri" w:cs="Calibri" w:eastAsia="Calibri" w:hAnsi="Calibri"/>
                <w:color w:val="4d5057"/>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The full report is available on </w:t>
            </w:r>
            <w:hyperlink r:id="rId6">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7">
            <w:pPr>
              <w:pageBreakBefore w:val="0"/>
              <w:widowControl w:val="0"/>
              <w:numPr>
                <w:ilvl w:val="0"/>
                <w:numId w:val="2"/>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UNOCHA- Myanmar has released the 2021 Humanitarian Needs Overview (HNO) and Humanitarian Response Plan (HRP). Both are available on ReliefWeb: </w:t>
            </w:r>
            <w:hyperlink r:id="rId7">
              <w:r w:rsidDel="00000000" w:rsidR="00000000" w:rsidRPr="00000000">
                <w:rPr>
                  <w:rFonts w:ascii="Calibri" w:cs="Calibri" w:eastAsia="Calibri" w:hAnsi="Calibri"/>
                  <w:color w:val="1155cc"/>
                  <w:sz w:val="20"/>
                  <w:szCs w:val="20"/>
                  <w:highlight w:val="white"/>
                  <w:u w:val="single"/>
                  <w:rtl w:val="0"/>
                </w:rPr>
                <w:t xml:space="preserve">HNO</w:t>
              </w:r>
            </w:hyperlink>
            <w:r w:rsidDel="00000000" w:rsidR="00000000" w:rsidRPr="00000000">
              <w:rPr>
                <w:rFonts w:ascii="Calibri" w:cs="Calibri" w:eastAsia="Calibri" w:hAnsi="Calibri"/>
                <w:color w:val="222222"/>
                <w:sz w:val="20"/>
                <w:szCs w:val="20"/>
                <w:highlight w:val="white"/>
                <w:rtl w:val="0"/>
              </w:rPr>
              <w:t xml:space="preserve"> and</w:t>
            </w:r>
            <w:hyperlink r:id="rId8">
              <w:r w:rsidDel="00000000" w:rsidR="00000000" w:rsidRPr="00000000">
                <w:rPr>
                  <w:rFonts w:ascii="Calibri" w:cs="Calibri" w:eastAsia="Calibri" w:hAnsi="Calibri"/>
                  <w:color w:val="1155cc"/>
                  <w:sz w:val="20"/>
                  <w:szCs w:val="20"/>
                  <w:highlight w:val="white"/>
                  <w:u w:val="single"/>
                  <w:rtl w:val="0"/>
                </w:rPr>
                <w:t xml:space="preserve"> HRP</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8">
            <w:pPr>
              <w:pageBreakBefore w:val="0"/>
              <w:widowControl w:val="0"/>
              <w:shd w:fill="ffffff" w:val="clear"/>
              <w:spacing w:line="276" w:lineRule="auto"/>
              <w:ind w:left="0" w:firstLine="0"/>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09">
            <w:pPr>
              <w:pageBreakBefore w:val="0"/>
              <w:widowControl w:val="0"/>
              <w:shd w:fill="ffffff" w:val="clear"/>
              <w:spacing w:line="276" w:lineRule="auto"/>
              <w:ind w:left="0" w:firstLine="0"/>
              <w:jc w:val="both"/>
              <w:rPr>
                <w:rFonts w:ascii="Calibri" w:cs="Calibri" w:eastAsia="Calibri" w:hAnsi="Calibri"/>
                <w:b w:val="1"/>
                <w:color w:val="202020"/>
                <w:sz w:val="20"/>
                <w:szCs w:val="20"/>
                <w:highlight w:val="white"/>
              </w:rPr>
            </w:pPr>
            <w:r w:rsidDel="00000000" w:rsidR="00000000" w:rsidRPr="00000000">
              <w:rPr>
                <w:rFonts w:ascii="Calibri" w:cs="Calibri" w:eastAsia="Calibri" w:hAnsi="Calibri"/>
                <w:b w:val="1"/>
                <w:color w:val="202020"/>
                <w:sz w:val="20"/>
                <w:szCs w:val="20"/>
                <w:highlight w:val="white"/>
                <w:rtl w:val="0"/>
              </w:rPr>
              <w:t xml:space="preserve">Snapshot:</w:t>
            </w:r>
          </w:p>
          <w:p w:rsidR="00000000" w:rsidDel="00000000" w:rsidP="00000000" w:rsidRDefault="00000000" w:rsidRPr="00000000" w14:paraId="0000000A">
            <w:pPr>
              <w:pageBreakBefore w:val="0"/>
              <w:widowControl w:val="0"/>
              <w:numPr>
                <w:ilvl w:val="0"/>
                <w:numId w:val="9"/>
              </w:numPr>
              <w:shd w:fill="ffffff" w:val="clear"/>
              <w:spacing w:line="276" w:lineRule="auto"/>
              <w:ind w:left="720" w:hanging="360"/>
              <w:jc w:val="both"/>
              <w:rPr>
                <w:rFonts w:ascii="Calibri" w:cs="Calibri" w:eastAsia="Calibri" w:hAnsi="Calibri"/>
                <w:color w:val="202020"/>
                <w:sz w:val="20"/>
                <w:szCs w:val="20"/>
                <w:highlight w:val="white"/>
              </w:rPr>
            </w:pPr>
            <w:r w:rsidDel="00000000" w:rsidR="00000000" w:rsidRPr="00000000">
              <w:rPr>
                <w:rFonts w:ascii="Calibri" w:cs="Calibri" w:eastAsia="Calibri" w:hAnsi="Calibri"/>
                <w:color w:val="202020"/>
                <w:sz w:val="20"/>
                <w:szCs w:val="20"/>
                <w:highlight w:val="white"/>
                <w:rtl w:val="0"/>
              </w:rPr>
              <w:t xml:space="preserve">Mercy Corps, Myanmar has recently published its Rakhine: Farmers’ Perspective (January 2021). </w:t>
            </w:r>
            <w:r w:rsidDel="00000000" w:rsidR="00000000" w:rsidRPr="00000000">
              <w:rPr>
                <w:rFonts w:ascii="Calibri" w:cs="Calibri" w:eastAsia="Calibri" w:hAnsi="Calibri"/>
                <w:i w:val="1"/>
                <w:color w:val="222222"/>
                <w:sz w:val="20"/>
                <w:szCs w:val="20"/>
                <w:highlight w:val="white"/>
                <w:rtl w:val="0"/>
              </w:rPr>
              <w:t xml:space="preserve">To better understand production challenges, Mercy Corps’ Market Analysis Unit (MAU) interviewed farmers about the 2020 paddy and winter crop seasons. The data represent a fourth-round panel of the same respondents interviewed monthly since October. Key highlights are: </w:t>
            </w:r>
            <w:r w:rsidDel="00000000" w:rsidR="00000000" w:rsidRPr="00000000">
              <w:rPr>
                <w:rFonts w:ascii="Calibri" w:cs="Calibri" w:eastAsia="Calibri" w:hAnsi="Calibri"/>
                <w:b w:val="1"/>
                <w:i w:val="1"/>
                <w:color w:val="4d5057"/>
                <w:sz w:val="20"/>
                <w:szCs w:val="20"/>
                <w:highlight w:val="white"/>
                <w:rtl w:val="0"/>
              </w:rPr>
              <w:t xml:space="preserve">Challenges from COVID and conflict declined, Half of respondents struggled to find farm labor and some suffered lost yields. </w:t>
            </w:r>
            <w:r w:rsidDel="00000000" w:rsidR="00000000" w:rsidRPr="00000000">
              <w:rPr>
                <w:rFonts w:ascii="Calibri" w:cs="Calibri" w:eastAsia="Calibri" w:hAnsi="Calibri"/>
                <w:color w:val="4d5057"/>
                <w:sz w:val="20"/>
                <w:szCs w:val="20"/>
                <w:highlight w:val="white"/>
                <w:rtl w:val="0"/>
              </w:rPr>
              <w:t xml:space="preserve">As well as, the snapshot points out that</w:t>
            </w:r>
            <w:r w:rsidDel="00000000" w:rsidR="00000000" w:rsidRPr="00000000">
              <w:rPr>
                <w:rFonts w:ascii="Calibri" w:cs="Calibri" w:eastAsia="Calibri" w:hAnsi="Calibri"/>
                <w:b w:val="1"/>
                <w:i w:val="1"/>
                <w:color w:val="4d5057"/>
                <w:sz w:val="20"/>
                <w:szCs w:val="20"/>
                <w:highlight w:val="white"/>
                <w:rtl w:val="0"/>
              </w:rPr>
              <w:t xml:space="preserve"> persistent labor shortages will not likely be solved by ceasefire alone. </w:t>
            </w:r>
            <w:r w:rsidDel="00000000" w:rsidR="00000000" w:rsidRPr="00000000">
              <w:rPr>
                <w:rFonts w:ascii="Calibri" w:cs="Calibri" w:eastAsia="Calibri" w:hAnsi="Calibri"/>
                <w:color w:val="4d5057"/>
                <w:sz w:val="20"/>
                <w:szCs w:val="20"/>
                <w:highlight w:val="white"/>
                <w:rtl w:val="0"/>
              </w:rPr>
              <w:t xml:space="preserve">The full snapshot is available on </w:t>
            </w:r>
            <w:hyperlink r:id="rId9">
              <w:r w:rsidDel="00000000" w:rsidR="00000000" w:rsidRPr="00000000">
                <w:rPr>
                  <w:rFonts w:ascii="Calibri" w:cs="Calibri" w:eastAsia="Calibri" w:hAnsi="Calibri"/>
                  <w:color w:val="1155cc"/>
                  <w:sz w:val="20"/>
                  <w:szCs w:val="20"/>
                  <w:highlight w:val="white"/>
                  <w:u w:val="single"/>
                  <w:rtl w:val="0"/>
                </w:rPr>
                <w:t xml:space="preserve">MIMU</w:t>
              </w:r>
            </w:hyperlink>
            <w:r w:rsidDel="00000000" w:rsidR="00000000" w:rsidRPr="00000000">
              <w:rPr>
                <w:rFonts w:ascii="Calibri" w:cs="Calibri" w:eastAsia="Calibri" w:hAnsi="Calibri"/>
                <w:color w:val="4d5057"/>
                <w:sz w:val="20"/>
                <w:szCs w:val="20"/>
                <w:highlight w:val="white"/>
                <w:rtl w:val="0"/>
              </w:rPr>
              <w:t xml:space="preserve">.</w:t>
            </w:r>
          </w:p>
          <w:p w:rsidR="00000000" w:rsidDel="00000000" w:rsidP="00000000" w:rsidRDefault="00000000" w:rsidRPr="00000000" w14:paraId="0000000B">
            <w:pPr>
              <w:pageBreakBefore w:val="0"/>
              <w:widowControl w:val="0"/>
              <w:shd w:fill="ffffff" w:val="clear"/>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Media, News, Articles and Ops Eds:</w:t>
            </w:r>
          </w:p>
          <w:p w:rsidR="00000000" w:rsidDel="00000000" w:rsidP="00000000" w:rsidRDefault="00000000" w:rsidRPr="00000000" w14:paraId="0000000C">
            <w:pPr>
              <w:pageBreakBefore w:val="0"/>
              <w:widowControl w:val="0"/>
              <w:numPr>
                <w:ilvl w:val="0"/>
                <w:numId w:val="5"/>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e3436"/>
                <w:sz w:val="20"/>
                <w:szCs w:val="20"/>
                <w:highlight w:val="white"/>
                <w:rtl w:val="0"/>
              </w:rPr>
              <w:t xml:space="preserve">The United Nations and humanitarian partners have issued the 2021 Humanitarian Response Plan (HRP), which seeks to mobilize US$276.5 million for humanitarian assistance and protection services for around 945,000 people in Kachin, Kayin and eastern Bago, Rakhine and southern Chin as well as northern Shan.“The HRP explains how we aim to provide comprehensive humanitarian support to those who need it most,” said the UN Resident Coordinator and Humanitarian Coordinator for Myanmar, Mr. Ola Almgren. Read  </w:t>
            </w:r>
            <w:hyperlink r:id="rId1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e3436"/>
                <w:sz w:val="20"/>
                <w:szCs w:val="20"/>
                <w:highlight w:val="white"/>
                <w:rtl w:val="0"/>
              </w:rPr>
              <w:t xml:space="preserve">.</w:t>
            </w:r>
          </w:p>
          <w:p w:rsidR="00000000" w:rsidDel="00000000" w:rsidP="00000000" w:rsidRDefault="00000000" w:rsidRPr="00000000" w14:paraId="0000000D">
            <w:pPr>
              <w:pageBreakBefore w:val="0"/>
              <w:widowControl w:val="0"/>
              <w:shd w:fill="ffffff" w:val="clear"/>
              <w:ind w:left="0" w:firstLine="0"/>
              <w:jc w:val="both"/>
              <w:rPr>
                <w:rFonts w:ascii="Calibri" w:cs="Calibri" w:eastAsia="Calibri" w:hAnsi="Calibri"/>
                <w:b w:val="1"/>
                <w:color w:val="2e3436"/>
                <w:sz w:val="20"/>
                <w:szCs w:val="20"/>
                <w:highlight w:val="white"/>
              </w:rPr>
            </w:pPr>
            <w:r w:rsidDel="00000000" w:rsidR="00000000" w:rsidRPr="00000000">
              <w:rPr>
                <w:rFonts w:ascii="Calibri" w:cs="Calibri" w:eastAsia="Calibri" w:hAnsi="Calibri"/>
                <w:b w:val="1"/>
                <w:color w:val="2e3436"/>
                <w:sz w:val="20"/>
                <w:szCs w:val="20"/>
                <w:highlight w:val="white"/>
                <w:rtl w:val="0"/>
              </w:rPr>
              <w:t xml:space="preserve">Blog:</w:t>
            </w:r>
          </w:p>
          <w:p w:rsidR="00000000" w:rsidDel="00000000" w:rsidP="00000000" w:rsidRDefault="00000000" w:rsidRPr="00000000" w14:paraId="0000000E">
            <w:pPr>
              <w:pageBreakBefore w:val="0"/>
              <w:widowControl w:val="0"/>
              <w:numPr>
                <w:ilvl w:val="0"/>
                <w:numId w:val="1"/>
              </w:numPr>
              <w:shd w:fill="ffffff" w:val="clear"/>
              <w:ind w:left="720" w:hanging="360"/>
              <w:jc w:val="both"/>
              <w:rPr>
                <w:rFonts w:ascii="Calibri" w:cs="Calibri" w:eastAsia="Calibri" w:hAnsi="Calibri"/>
                <w:color w:val="2e3436"/>
                <w:sz w:val="20"/>
                <w:szCs w:val="20"/>
                <w:highlight w:val="white"/>
                <w:u w:val="none"/>
              </w:rPr>
            </w:pPr>
            <w:r w:rsidDel="00000000" w:rsidR="00000000" w:rsidRPr="00000000">
              <w:rPr>
                <w:rFonts w:ascii="Calibri" w:cs="Calibri" w:eastAsia="Calibri" w:hAnsi="Calibri"/>
                <w:color w:val="2e3436"/>
                <w:sz w:val="20"/>
                <w:szCs w:val="20"/>
                <w:highlight w:val="white"/>
                <w:rtl w:val="0"/>
              </w:rPr>
              <w:t xml:space="preserve">Writing for IFPRI, Suresh Barbu wrote </w:t>
            </w:r>
            <w:hyperlink r:id="rId11">
              <w:r w:rsidDel="00000000" w:rsidR="00000000" w:rsidRPr="00000000">
                <w:rPr>
                  <w:rFonts w:ascii="Calibri" w:cs="Calibri" w:eastAsia="Calibri" w:hAnsi="Calibri"/>
                  <w:color w:val="1155cc"/>
                  <w:sz w:val="20"/>
                  <w:szCs w:val="20"/>
                  <w:highlight w:val="white"/>
                  <w:u w:val="single"/>
                  <w:rtl w:val="0"/>
                </w:rPr>
                <w:t xml:space="preserve">As policy makers call for building capacity for food system transformation, who is listening?</w:t>
              </w:r>
            </w:hyperlink>
            <w:r w:rsidDel="00000000" w:rsidR="00000000" w:rsidRPr="00000000">
              <w:rPr>
                <w:rFonts w:ascii="Calibri" w:cs="Calibri" w:eastAsia="Calibri" w:hAnsi="Calibri"/>
                <w:sz w:val="20"/>
                <w:szCs w:val="20"/>
                <w:highlight w:val="white"/>
                <w:rtl w:val="0"/>
              </w:rPr>
              <w:t xml:space="preserve">. The post includes the lessons from two developing countries - Myanmar and Afghanistan.  </w:t>
            </w:r>
          </w:p>
          <w:p w:rsidR="00000000" w:rsidDel="00000000" w:rsidP="00000000" w:rsidRDefault="00000000" w:rsidRPr="00000000" w14:paraId="0000000F">
            <w:pPr>
              <w:pageBreakBefore w:val="0"/>
              <w:widowControl w:val="0"/>
              <w:shd w:fill="ffffff" w:val="clear"/>
              <w:ind w:left="72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0">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11">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12">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color w:val="222222"/>
                <w:sz w:val="20"/>
                <w:szCs w:val="20"/>
                <w:highlight w:val="white"/>
                <w:rtl w:val="0"/>
              </w:rPr>
              <w:t xml:space="preserve">The case study from Save the Children “</w:t>
            </w:r>
            <w:r w:rsidDel="00000000" w:rsidR="00000000" w:rsidRPr="00000000">
              <w:rPr>
                <w:rFonts w:ascii="Calibri" w:cs="Calibri" w:eastAsia="Calibri" w:hAnsi="Calibri"/>
                <w:b w:val="1"/>
                <w:sz w:val="20"/>
                <w:szCs w:val="20"/>
                <w:highlight w:val="white"/>
                <w:rtl w:val="0"/>
              </w:rPr>
              <w:t xml:space="preserve">Cash on the Move: Adapting Multi-Purpose Cash ‘Plus’ Assistance to support people on the move” </w:t>
            </w:r>
            <w:r w:rsidDel="00000000" w:rsidR="00000000" w:rsidRPr="00000000">
              <w:rPr>
                <w:rFonts w:ascii="Calibri" w:cs="Calibri" w:eastAsia="Calibri" w:hAnsi="Calibri"/>
                <w:sz w:val="20"/>
                <w:szCs w:val="20"/>
                <w:highlight w:val="white"/>
                <w:rtl w:val="0"/>
              </w:rPr>
              <w:t xml:space="preserve">is now available </w:t>
            </w:r>
            <w:hyperlink r:id="rId1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4c4843"/>
                <w:sz w:val="20"/>
                <w:szCs w:val="20"/>
                <w:shd w:fill="fefefe" w:val="clear"/>
                <w:rtl w:val="0"/>
              </w:rPr>
              <w:t xml:space="preserve">This case study documents key programmatic and operational models put in place by Save the Children Peru to adapt its MPCA ‘Plus’ program to the needs of Venezuelans on the move, settling in Peru and affected by COVID-19. It also provides lessons learnt and recommendations that can be applied to the Venezuela response and other large-scale migration responses across the globe.</w:t>
            </w:r>
            <w:r w:rsidDel="00000000" w:rsidR="00000000" w:rsidRPr="00000000">
              <w:rPr>
                <w:rtl w:val="0"/>
              </w:rPr>
            </w:r>
          </w:p>
          <w:p w:rsidR="00000000" w:rsidDel="00000000" w:rsidP="00000000" w:rsidRDefault="00000000" w:rsidRPr="00000000" w14:paraId="00000013">
            <w:pPr>
              <w:pageBreakBefore w:val="0"/>
              <w:widowControl w:val="0"/>
              <w:numPr>
                <w:ilvl w:val="0"/>
                <w:numId w:val="10"/>
              </w:numPr>
              <w:shd w:fill="ffffff" w:val="clear"/>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report from World Bank Group “</w:t>
            </w:r>
            <w:r w:rsidDel="00000000" w:rsidR="00000000" w:rsidRPr="00000000">
              <w:rPr>
                <w:rFonts w:ascii="Calibri" w:cs="Calibri" w:eastAsia="Calibri" w:hAnsi="Calibri"/>
                <w:sz w:val="20"/>
                <w:szCs w:val="20"/>
                <w:highlight w:val="white"/>
                <w:rtl w:val="0"/>
              </w:rPr>
              <w:t xml:space="preserve">Cash in the City: Emerging Lessons from Implementing Cash Transfers in Urban Africa” is available </w:t>
            </w:r>
            <w:hyperlink r:id="rId1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shd w:fill="fefefe" w:val="clear"/>
                <w:rtl w:val="0"/>
              </w:rPr>
              <w:t xml:space="preserve">This paper captures early lessons from a new generation of urban cash transfer responses to Covid-19 in eleven African countries. A range of lessons emerge around design and implementation, partnerships, institutions and political economy, strategic issues, and evidence and learning.</w:t>
            </w:r>
          </w:p>
          <w:p w:rsidR="00000000" w:rsidDel="00000000" w:rsidP="00000000" w:rsidRDefault="00000000" w:rsidRPr="00000000" w14:paraId="00000014">
            <w:pPr>
              <w:pageBreakBefore w:val="0"/>
              <w:widowControl w:val="0"/>
              <w:numPr>
                <w:ilvl w:val="0"/>
                <w:numId w:val="10"/>
              </w:numPr>
              <w:shd w:fill="ffffff" w:val="clear"/>
              <w:ind w:left="720" w:hanging="360"/>
              <w:jc w:val="both"/>
              <w:rPr>
                <w:rFonts w:ascii="Calibri" w:cs="Calibri" w:eastAsia="Calibri" w:hAnsi="Calibri"/>
                <w:sz w:val="20"/>
                <w:szCs w:val="20"/>
                <w:u w:val="none"/>
                <w:shd w:fill="fefefe" w:val="clear"/>
              </w:rPr>
            </w:pPr>
            <w:r w:rsidDel="00000000" w:rsidR="00000000" w:rsidRPr="00000000">
              <w:rPr>
                <w:rFonts w:ascii="Calibri" w:cs="Calibri" w:eastAsia="Calibri" w:hAnsi="Calibri"/>
                <w:sz w:val="20"/>
                <w:szCs w:val="20"/>
                <w:shd w:fill="fefefe" w:val="clear"/>
                <w:rtl w:val="0"/>
              </w:rPr>
              <w:t xml:space="preserve">WVI recently published </w:t>
            </w:r>
            <w:r w:rsidDel="00000000" w:rsidR="00000000" w:rsidRPr="00000000">
              <w:rPr>
                <w:rFonts w:ascii="Calibri" w:cs="Calibri" w:eastAsia="Calibri" w:hAnsi="Calibri"/>
                <w:b w:val="1"/>
                <w:sz w:val="20"/>
                <w:szCs w:val="20"/>
                <w:shd w:fill="fefefe" w:val="clear"/>
                <w:rtl w:val="0"/>
              </w:rPr>
              <w:t xml:space="preserve">2020 Cash and Voucher Programming (CVP): Roadmap and milestone achieved </w:t>
            </w:r>
            <w:r w:rsidDel="00000000" w:rsidR="00000000" w:rsidRPr="00000000">
              <w:rPr>
                <w:rFonts w:ascii="Calibri" w:cs="Calibri" w:eastAsia="Calibri" w:hAnsi="Calibri"/>
                <w:sz w:val="20"/>
                <w:szCs w:val="20"/>
                <w:shd w:fill="fefefe" w:val="clear"/>
                <w:rtl w:val="0"/>
              </w:rPr>
              <w:t xml:space="preserve">report. The report highlights the reviews of WVI CVP in 2019- 2020. It is available </w:t>
            </w:r>
            <w:hyperlink r:id="rId14">
              <w:r w:rsidDel="00000000" w:rsidR="00000000" w:rsidRPr="00000000">
                <w:rPr>
                  <w:rFonts w:ascii="Calibri" w:cs="Calibri" w:eastAsia="Calibri" w:hAnsi="Calibri"/>
                  <w:color w:val="1155cc"/>
                  <w:sz w:val="20"/>
                  <w:szCs w:val="20"/>
                  <w:u w:val="single"/>
                  <w:shd w:fill="fefefe" w:val="clear"/>
                  <w:rtl w:val="0"/>
                </w:rPr>
                <w:t xml:space="preserve">here</w:t>
              </w:r>
            </w:hyperlink>
            <w:r w:rsidDel="00000000" w:rsidR="00000000" w:rsidRPr="00000000">
              <w:rPr>
                <w:rFonts w:ascii="Calibri" w:cs="Calibri" w:eastAsia="Calibri" w:hAnsi="Calibri"/>
                <w:sz w:val="20"/>
                <w:szCs w:val="20"/>
                <w:shd w:fill="fefefe" w:val="clear"/>
                <w:rtl w:val="0"/>
              </w:rPr>
              <w:t xml:space="preserve">.</w:t>
            </w:r>
            <w:r w:rsidDel="00000000" w:rsidR="00000000" w:rsidRPr="00000000">
              <w:rPr>
                <w:rtl w:val="0"/>
              </w:rPr>
            </w:r>
          </w:p>
          <w:p w:rsidR="00000000" w:rsidDel="00000000" w:rsidP="00000000" w:rsidRDefault="00000000" w:rsidRPr="00000000" w14:paraId="00000015">
            <w:pPr>
              <w:pageBreakBefore w:val="0"/>
              <w:widowControl w:val="0"/>
              <w:shd w:fill="ffffff" w:val="clear"/>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Media, News, Articles and Ops Eds:</w:t>
            </w:r>
          </w:p>
          <w:p w:rsidR="00000000" w:rsidDel="00000000" w:rsidP="00000000" w:rsidRDefault="00000000" w:rsidRPr="00000000" w14:paraId="00000016">
            <w:pPr>
              <w:pageBreakBefore w:val="0"/>
              <w:widowControl w:val="0"/>
              <w:numPr>
                <w:ilvl w:val="0"/>
                <w:numId w:val="6"/>
              </w:numPr>
              <w:shd w:fill="ffffff" w:val="clear"/>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Socialprotection.org published January newsletter 2021. It presents the highlights of 2020. It is available </w:t>
            </w:r>
            <w:hyperlink r:id="rId15">
              <w:r w:rsidDel="00000000" w:rsidR="00000000" w:rsidRPr="00000000">
                <w:rPr>
                  <w:rFonts w:ascii="Calibri" w:cs="Calibri" w:eastAsia="Calibri" w:hAnsi="Calibri"/>
                  <w:color w:val="1155cc"/>
                  <w:sz w:val="20"/>
                  <w:szCs w:val="20"/>
                  <w:highlight w:val="white"/>
                  <w:u w:val="single"/>
                  <w:rtl w:val="0"/>
                </w:rPr>
                <w:t xml:space="preserve">online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numPr>
                <w:ilvl w:val="0"/>
                <w:numId w:val="4"/>
              </w:numPr>
              <w:shd w:fill="ffffff" w:val="clear"/>
              <w:spacing w:line="240" w:lineRule="auto"/>
              <w:ind w:left="720" w:hanging="360"/>
              <w:jc w:val="both"/>
              <w:rPr/>
            </w:pPr>
            <w:r w:rsidDel="00000000" w:rsidR="00000000" w:rsidRPr="00000000">
              <w:rPr>
                <w:color w:val="414141"/>
                <w:sz w:val="21"/>
                <w:szCs w:val="21"/>
                <w:highlight w:val="white"/>
                <w:rtl w:val="0"/>
              </w:rPr>
              <w:t xml:space="preserve">အစိုးရပေးအပ်တဲ့ စတုတ္ထအကြိမ် ကိုဗစ်ထောက်ပံ့ကြေးပေးတဲ့အစီအစဉ်မှာ ကျန်ခဲ့တဲ့သူတွေနဲ့ ကိုဗစ်-၁၉ ကြောင့် စားဝတ်နေရေးခက်ခဲပြီး ထောက်ပံ့ကြေးပေးဖို့ လိုအပ်နေသူတွေကို စိစစ်နေပြီး မကြာမီထောက်ပံ့ကြေးတွေပေးသွားဖို့ စီစဉ်နေတယ်လို့    ပြည်ထောင်စုအစိုးရအဖွဲ့ရုံး ဝန်ကြီးဌာန၊ အထွေထွေအုပ်ချုပ်ရေးဦးစီးဌာနက ပြောပါတယ်။ Officials are going to provide the Covid-19 cash assistance to those did not get on the fourth time assistance. News </w:t>
            </w:r>
            <w:hyperlink r:id="rId16">
              <w:r w:rsidDel="00000000" w:rsidR="00000000" w:rsidRPr="00000000">
                <w:rPr>
                  <w:color w:val="1155cc"/>
                  <w:sz w:val="21"/>
                  <w:szCs w:val="21"/>
                  <w:highlight w:val="white"/>
                  <w:u w:val="single"/>
                  <w:rtl w:val="0"/>
                </w:rPr>
                <w:t xml:space="preserve">here</w:t>
              </w:r>
            </w:hyperlink>
            <w:r w:rsidDel="00000000" w:rsidR="00000000" w:rsidRPr="00000000">
              <w:rPr>
                <w:color w:val="414141"/>
                <w:sz w:val="21"/>
                <w:szCs w:val="21"/>
                <w:highlight w:val="white"/>
                <w:rtl w:val="0"/>
              </w:rPr>
              <w:t xml:space="preserve">.</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numPr>
                <w:ilvl w:val="0"/>
                <w:numId w:val="1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7">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r w:rsidDel="00000000" w:rsidR="00000000" w:rsidRPr="00000000">
              <w:rPr>
                <w:rtl w:val="0"/>
              </w:rPr>
            </w:r>
          </w:p>
          <w:p w:rsidR="00000000" w:rsidDel="00000000" w:rsidP="00000000" w:rsidRDefault="00000000" w:rsidRPr="00000000" w14:paraId="0000001B">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C">
            <w:pPr>
              <w:pageBreakBefore w:val="0"/>
              <w:widowControl w:val="0"/>
              <w:numPr>
                <w:ilvl w:val="0"/>
                <w:numId w:val="7"/>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18">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hyperlink r:id="rId19">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0">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1">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2">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F">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3">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4">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20">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2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1">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6">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2">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27">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3">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28">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29">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4">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5">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0">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6">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1">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8">
      <w:pPr>
        <w:pageBreakBefore w:val="0"/>
        <w:spacing w:line="360" w:lineRule="auto"/>
        <w:jc w:val="both"/>
        <w:rPr/>
      </w:pPr>
      <w:r w:rsidDel="00000000" w:rsidR="00000000" w:rsidRPr="00000000">
        <w:rPr>
          <w:rtl w:val="0"/>
        </w:rPr>
      </w:r>
    </w:p>
    <w:p w:rsidR="00000000" w:rsidDel="00000000" w:rsidP="00000000" w:rsidRDefault="00000000" w:rsidRPr="00000000" w14:paraId="00000029">
      <w:pPr>
        <w:pageBreakBefore w:val="0"/>
        <w:spacing w:line="360" w:lineRule="auto"/>
        <w:jc w:val="both"/>
        <w:rPr/>
      </w:pPr>
      <w:r w:rsidDel="00000000" w:rsidR="00000000" w:rsidRPr="00000000">
        <w:rPr>
          <w:rtl w:val="0"/>
        </w:rPr>
      </w:r>
    </w:p>
    <w:p w:rsidR="00000000" w:rsidDel="00000000" w:rsidP="00000000" w:rsidRDefault="00000000" w:rsidRPr="00000000" w14:paraId="0000002A">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ocialprotection.org/connect/communities/social-protection-responses-covid-19-task-force" TargetMode="External"/><Relationship Id="rId22" Type="http://schemas.openxmlformats.org/officeDocument/2006/relationships/hyperlink" Target="https://socialprotection.org/connect/communities/social-protection-crisis-contexts/grand-bargain-linking-sp-and-humanitarian-cash" TargetMode="External"/><Relationship Id="rId21" Type="http://schemas.openxmlformats.org/officeDocument/2006/relationships/hyperlink" Target="https://socialprotection.org/connect/communities/social-protection-crisis-contexts" TargetMode="External"/><Relationship Id="rId24" Type="http://schemas.openxmlformats.org/officeDocument/2006/relationships/hyperlink" Target="https://www.calpnetwork.org/wp-content/uploads/2020/03/CaLP-summary-guidance-version-5-16-April-2020_.pdf" TargetMode="External"/><Relationship Id="rId23" Type="http://schemas.openxmlformats.org/officeDocument/2006/relationships/hyperlink" Target="https://www.calpnetwork.org/themes/cva-and-covid-19-resources-guidance-events-and-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mimu.info/rakhine-market-analysis-unit" TargetMode="External"/><Relationship Id="rId26" Type="http://schemas.openxmlformats.org/officeDocument/2006/relationships/hyperlink" Target="https://r1.dotmailer-surveys.com/4952l7ad-074f9u4b" TargetMode="External"/><Relationship Id="rId25" Type="http://schemas.openxmlformats.org/officeDocument/2006/relationships/hyperlink" Target="https://cash-hub.org/resources/cash-and-covid-19" TargetMode="External"/><Relationship Id="rId28" Type="http://schemas.openxmlformats.org/officeDocument/2006/relationships/hyperlink" Target="https://agora.unicef.org/course/info.php?id=28525" TargetMode="External"/><Relationship Id="rId27" Type="http://schemas.openxmlformats.org/officeDocument/2006/relationships/hyperlink" Target="https://transfer.cpc.unc.edu/cash-transfers-covid-19/?utm_source=Transfer+Project+Newsletter&amp;utm_campaign=df0f757bb9-" TargetMode="External"/><Relationship Id="rId5" Type="http://schemas.openxmlformats.org/officeDocument/2006/relationships/styles" Target="styles.xml"/><Relationship Id="rId6" Type="http://schemas.openxmlformats.org/officeDocument/2006/relationships/hyperlink" Target="https://themimu.info/rakhine-market-analysis-unit" TargetMode="External"/><Relationship Id="rId29" Type="http://schemas.openxmlformats.org/officeDocument/2006/relationships/hyperlink" Target="https://agora.unicef.org/course/info.php?id=28525" TargetMode="External"/><Relationship Id="rId7" Type="http://schemas.openxmlformats.org/officeDocument/2006/relationships/hyperlink" Target="https://reliefweb.int/report/myanmar/myanmar-2021-humanitarian-needs-overview-issued-january-2021" TargetMode="External"/><Relationship Id="rId8" Type="http://schemas.openxmlformats.org/officeDocument/2006/relationships/hyperlink" Target="https://reliefweb.int/report/myanmar/myanmar-humanitarian-response-plan-2021-issued-january-2021" TargetMode="External"/><Relationship Id="rId31" Type="http://schemas.openxmlformats.org/officeDocument/2006/relationships/hyperlink" Target="https://www.ugogentilini.net/" TargetMode="External"/><Relationship Id="rId30" Type="http://schemas.openxmlformats.org/officeDocument/2006/relationships/hyperlink" Target="https://www.collaborativecash.org/social-protection-working-group" TargetMode="External"/><Relationship Id="rId11" Type="http://schemas.openxmlformats.org/officeDocument/2006/relationships/hyperlink" Target="https://www.ifpri.org/blog/policy-makers-call-building-capacity-food-system-transformation-who-listening" TargetMode="External"/><Relationship Id="rId10" Type="http://schemas.openxmlformats.org/officeDocument/2006/relationships/hyperlink" Target="https://reliefweb.int/report/myanmar/one-million-people-conflict-affected-areas-myanmar-need-humanitarian-assistance-enmy" TargetMode="External"/><Relationship Id="rId13" Type="http://schemas.openxmlformats.org/officeDocument/2006/relationships/hyperlink" Target="https://socialprotection.org/discover/publications/cash-city-emerging-lessons-implementing-cash-transfers-urban-africa" TargetMode="External"/><Relationship Id="rId12" Type="http://schemas.openxmlformats.org/officeDocument/2006/relationships/hyperlink" Target="https://socialprotection.org/discover/publications/cash-move-adapting-multi-purpose-cash-%E2%80%98plus%E2%80%99-assistance-support-people-move" TargetMode="External"/><Relationship Id="rId15" Type="http://schemas.openxmlformats.org/officeDocument/2006/relationships/hyperlink" Target="https://socialprotection.org/january-2021-highlights-2020" TargetMode="External"/><Relationship Id="rId14" Type="http://schemas.openxmlformats.org/officeDocument/2006/relationships/hyperlink" Target="https://www.calpnetwork.org/publication/2020-cash-and-voucher-programming-cvp-roadmap-and-milestone-achieved/" TargetMode="External"/><Relationship Id="rId17" Type="http://schemas.openxmlformats.org/officeDocument/2006/relationships/hyperlink" Target="https://drive.google.com/file/d/14fd9FMcm9ueDsfnLLJPyPOrNk9Ml0KpC/view" TargetMode="External"/><Relationship Id="rId16" Type="http://schemas.openxmlformats.org/officeDocument/2006/relationships/hyperlink" Target="http://burmese.dvb.no/archives/435464?fbclid=IwAR1b6pXe07Z3G3_ddCcuz9I1K3y1yrDcf4o0L9G1y5YlXKKV05c3JEijX0s" TargetMode="External"/><Relationship Id="rId19" Type="http://schemas.openxmlformats.org/officeDocument/2006/relationships/hyperlink" Target="https://socialprotection.org/" TargetMode="External"/><Relationship Id="rId18" Type="http://schemas.openxmlformats.org/officeDocument/2006/relationships/hyperlink" Target="https://drive.google.com/file/d/1xgRxyHobMjHy18gOsD5xAgZLyKSN7t4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