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926580" cy="1045163"/>
                <wp:effectExtent b="0" l="0" r="0" t="0"/>
                <wp:wrapTopAndBottom distB="0" distT="0"/>
                <wp:docPr id="86" name=""/>
                <a:graphic>
                  <a:graphicData uri="http://schemas.microsoft.com/office/word/2010/wordprocessingGroup">
                    <wpg:wgp>
                      <wpg:cNvGrpSpPr/>
                      <wpg:grpSpPr>
                        <a:xfrm>
                          <a:off x="1882710" y="3266920"/>
                          <a:ext cx="6926580" cy="1045163"/>
                          <a:chOff x="1882710" y="3266920"/>
                          <a:chExt cx="6926580" cy="1026160"/>
                        </a:xfrm>
                      </wpg:grpSpPr>
                      <wpg:grpSp>
                        <wpg:cNvGrpSpPr/>
                        <wpg:grpSpPr>
                          <a:xfrm>
                            <a:off x="1882710" y="3266920"/>
                            <a:ext cx="6926580" cy="1026160"/>
                            <a:chOff x="1882710" y="3276422"/>
                            <a:chExt cx="6926580" cy="1007157"/>
                          </a:xfrm>
                        </wpg:grpSpPr>
                        <wps:wsp>
                          <wps:cNvSpPr/>
                          <wps:cNvPr id="6" name="Shape 6"/>
                          <wps:spPr>
                            <a:xfrm>
                              <a:off x="1882710" y="3276422"/>
                              <a:ext cx="6926575" cy="100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76422"/>
                              <a:ext cx="6926580" cy="1007157"/>
                              <a:chOff x="1882710" y="3285923"/>
                              <a:chExt cx="6926580" cy="988154"/>
                            </a:xfrm>
                          </wpg:grpSpPr>
                          <wps:wsp>
                            <wps:cNvSpPr/>
                            <wps:cNvPr id="8" name="Shape 8"/>
                            <wps:spPr>
                              <a:xfrm>
                                <a:off x="1882710" y="3285923"/>
                                <a:ext cx="6926575" cy="98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85923"/>
                                <a:ext cx="6926580" cy="988154"/>
                                <a:chOff x="1882710" y="3295425"/>
                                <a:chExt cx="6926580" cy="969151"/>
                              </a:xfrm>
                            </wpg:grpSpPr>
                            <wps:wsp>
                              <wps:cNvSpPr/>
                              <wps:cNvPr id="10" name="Shape 10"/>
                              <wps:spPr>
                                <a:xfrm>
                                  <a:off x="1882710" y="3295425"/>
                                  <a:ext cx="6926575" cy="96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95425"/>
                                  <a:ext cx="6926580" cy="969151"/>
                                  <a:chOff x="1882710" y="3304926"/>
                                  <a:chExt cx="6926580" cy="950148"/>
                                </a:xfrm>
                              </wpg:grpSpPr>
                              <wps:wsp>
                                <wps:cNvSpPr/>
                                <wps:cNvPr id="12" name="Shape 12"/>
                                <wps:spPr>
                                  <a:xfrm>
                                    <a:off x="1882710" y="3304926"/>
                                    <a:ext cx="6926575" cy="95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04926"/>
                                    <a:ext cx="6926580" cy="950148"/>
                                    <a:chOff x="1882710" y="3312323"/>
                                    <a:chExt cx="6926580" cy="935355"/>
                                  </a:xfrm>
                                </wpg:grpSpPr>
                                <wps:wsp>
                                  <wps:cNvSpPr/>
                                  <wps:cNvPr id="14" name="Shape 14"/>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1882710" y="3312323"/>
                                      <a:chExt cx="6926580" cy="935355"/>
                                    </a:xfrm>
                                  </wpg:grpSpPr>
                                  <wps:wsp>
                                    <wps:cNvSpPr/>
                                    <wps:cNvPr id="16" name="Shape 16"/>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18" name="Shape 18"/>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4</w:t>
                                            </w:r>
                                            <w:r w:rsidDel="00000000" w:rsidR="00000000" w:rsidRPr="00000000">
                                              <w:rPr>
                                                <w:rFonts w:ascii="Arial" w:cs="Arial" w:eastAsia="Arial" w:hAnsi="Arial"/>
                                                <w:b w:val="0"/>
                                                <w:i w:val="0"/>
                                                <w:smallCaps w:val="0"/>
                                                <w:strike w:val="0"/>
                                                <w:color w:val="418fde"/>
                                                <w:sz w:val="32"/>
                                                <w:vertAlign w:val="baseline"/>
                                              </w:rPr>
                                              <w:t xml:space="preserve">1</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03</w:t>
                                            </w:r>
                                            <w:r w:rsidDel="00000000" w:rsidR="00000000" w:rsidRPr="00000000">
                                              <w:rPr>
                                                <w:rFonts w:ascii="Arial" w:cs="Arial" w:eastAsia="Arial" w:hAnsi="Arial"/>
                                                <w:b w:val="0"/>
                                                <w:i w:val="1"/>
                                                <w:smallCaps w:val="0"/>
                                                <w:strike w:val="0"/>
                                                <w:color w:val="418fde"/>
                                                <w:sz w:val="20"/>
                                                <w:vertAlign w:val="baseline"/>
                                              </w:rPr>
                                              <w:t xml:space="preserve"> </w:t>
                                            </w:r>
                                            <w:r w:rsidDel="00000000" w:rsidR="00000000" w:rsidRPr="00000000">
                                              <w:rPr>
                                                <w:rFonts w:ascii="Arial" w:cs="Arial" w:eastAsia="Arial" w:hAnsi="Arial"/>
                                                <w:b w:val="0"/>
                                                <w:i w:val="1"/>
                                                <w:smallCaps w:val="0"/>
                                                <w:strike w:val="0"/>
                                                <w:color w:val="418fde"/>
                                                <w:sz w:val="20"/>
                                                <w:vertAlign w:val="baseline"/>
                                              </w:rPr>
                                              <w:t xml:space="preserve">Dec</w:t>
                                            </w:r>
                                            <w:r w:rsidDel="00000000" w:rsidR="00000000" w:rsidRPr="00000000">
                                              <w:rPr>
                                                <w:rFonts w:ascii="Arial" w:cs="Arial" w:eastAsia="Arial" w:hAnsi="Arial"/>
                                                <w:b w:val="0"/>
                                                <w:i w:val="1"/>
                                                <w:smallCaps w:val="0"/>
                                                <w:strike w:val="0"/>
                                                <w:color w:val="418fde"/>
                                                <w:sz w:val="20"/>
                                                <w:vertAlign w:val="baseline"/>
                                              </w:rPr>
                                              <w:t xml:space="preserve">ember 2021</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926580" cy="1045163"/>
                <wp:effectExtent b="0" l="0" r="0" t="0"/>
                <wp:wrapTopAndBottom distB="0" distT="0"/>
                <wp:docPr id="8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6580" cy="1045163"/>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color w:val="418fde"/>
          <w:rtl w:val="0"/>
        </w:rPr>
        <w:t xml:space="preserve">This regular biweekly update, covering the period from 20 November - 03 December 2021, is produced by the Myanmar Cash Working Group.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highlight w:val="white"/>
        </w:rPr>
      </w:pPr>
      <w:r w:rsidDel="00000000" w:rsidR="00000000" w:rsidRPr="00000000">
        <w:rPr>
          <w:b w:val="1"/>
          <w:i w:val="0"/>
          <w:smallCaps w:val="1"/>
          <w:strike w:val="0"/>
          <w:color w:val="4d4d4d"/>
          <w:sz w:val="28"/>
          <w:szCs w:val="28"/>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4">
      <w:pPr>
        <w:spacing w:after="0" w:lineRule="auto"/>
        <w:ind w:left="720" w:firstLine="0"/>
        <w:jc w:val="both"/>
        <w:rPr>
          <w:shd w:fill="ffe599" w:val="clear"/>
        </w:rPr>
      </w:pPr>
      <w:bookmarkStart w:colFirst="0" w:colLast="0" w:name="_heading=h.rqzr0h3sybvu" w:id="1"/>
      <w:bookmarkEnd w:id="1"/>
      <w:r w:rsidDel="00000000" w:rsidR="00000000" w:rsidRPr="00000000">
        <w:rPr>
          <w:rtl w:val="0"/>
        </w:rPr>
      </w:r>
    </w:p>
    <w:p w:rsidR="00000000" w:rsidDel="00000000" w:rsidP="00000000" w:rsidRDefault="00000000" w:rsidRPr="00000000" w14:paraId="00000005">
      <w:pPr>
        <w:numPr>
          <w:ilvl w:val="0"/>
          <w:numId w:val="5"/>
        </w:numPr>
        <w:spacing w:after="0" w:lineRule="auto"/>
        <w:ind w:left="720" w:hanging="360"/>
        <w:jc w:val="both"/>
        <w:rPr/>
      </w:pPr>
      <w:r w:rsidDel="00000000" w:rsidR="00000000" w:rsidRPr="00000000">
        <w:rPr>
          <w:rtl w:val="0"/>
        </w:rPr>
        <w:t xml:space="preserve">Despite cash liquidity and banking challenges, partners continue activities mainly by using third party financial service providers (FSPs) to secure enough cash for distributions.</w:t>
      </w:r>
    </w:p>
    <w:p w:rsidR="00000000" w:rsidDel="00000000" w:rsidP="00000000" w:rsidRDefault="00000000" w:rsidRPr="00000000" w14:paraId="00000006">
      <w:pPr>
        <w:numPr>
          <w:ilvl w:val="0"/>
          <w:numId w:val="5"/>
        </w:numPr>
        <w:spacing w:after="0" w:lineRule="auto"/>
        <w:ind w:left="720" w:hanging="360"/>
        <w:jc w:val="both"/>
      </w:pPr>
      <w:r w:rsidDel="00000000" w:rsidR="00000000" w:rsidRPr="00000000">
        <w:rPr>
          <w:rtl w:val="0"/>
        </w:rPr>
        <w:t xml:space="preserve">In Kachin, more private banks have resumed operations, though CWG partners are still facing liquidity issues. </w:t>
      </w:r>
    </w:p>
    <w:p w:rsidR="00000000" w:rsidDel="00000000" w:rsidP="00000000" w:rsidRDefault="00000000" w:rsidRPr="00000000" w14:paraId="00000007">
      <w:pPr>
        <w:numPr>
          <w:ilvl w:val="0"/>
          <w:numId w:val="5"/>
        </w:numPr>
        <w:spacing w:after="0" w:lineRule="auto"/>
        <w:ind w:left="720" w:hanging="360"/>
        <w:jc w:val="both"/>
        <w:rPr/>
      </w:pPr>
      <w:r w:rsidDel="00000000" w:rsidR="00000000" w:rsidRPr="00000000">
        <w:rPr>
          <w:color w:val="525252"/>
          <w:rtl w:val="0"/>
        </w:rPr>
        <w:t xml:space="preserve">In Rakhine, </w:t>
      </w:r>
      <w:r w:rsidDel="00000000" w:rsidR="00000000" w:rsidRPr="00000000">
        <w:rPr>
          <w:rtl w:val="0"/>
        </w:rPr>
        <w:t xml:space="preserve">the cost of transportation for goods and services has increased due to fuel price increases. This contributes to increased food basket costs across the townships. WFP has increased transfer values accordingly.</w:t>
      </w:r>
    </w:p>
    <w:p w:rsidR="00000000" w:rsidDel="00000000" w:rsidP="00000000" w:rsidRDefault="00000000" w:rsidRPr="00000000" w14:paraId="00000008">
      <w:pPr>
        <w:numPr>
          <w:ilvl w:val="0"/>
          <w:numId w:val="5"/>
        </w:numPr>
        <w:shd w:fill="ffffff" w:val="clear"/>
        <w:spacing w:after="0" w:lineRule="auto"/>
        <w:ind w:left="720" w:hanging="360"/>
        <w:jc w:val="both"/>
      </w:pPr>
      <w:r w:rsidDel="00000000" w:rsidR="00000000" w:rsidRPr="00000000">
        <w:rPr>
          <w:color w:val="525252"/>
          <w:rtl w:val="0"/>
        </w:rPr>
        <w:t xml:space="preserve">After the Central Bank issued a letter about the limitation of cash payment up to 20 million MMK, some informal service providers increased their rates 0.5 ~ 1%.</w:t>
      </w:r>
      <w:r w:rsidDel="00000000" w:rsidR="00000000" w:rsidRPr="00000000">
        <w:rPr>
          <w:rtl w:val="0"/>
        </w:rPr>
      </w:r>
    </w:p>
    <w:p w:rsidR="00000000" w:rsidDel="00000000" w:rsidP="00000000" w:rsidRDefault="00000000" w:rsidRPr="00000000" w14:paraId="00000009">
      <w:pPr>
        <w:numPr>
          <w:ilvl w:val="0"/>
          <w:numId w:val="5"/>
        </w:numPr>
        <w:spacing w:after="0" w:lineRule="auto"/>
        <w:ind w:left="720" w:hanging="360"/>
        <w:jc w:val="both"/>
        <w:rPr/>
      </w:pPr>
      <w:r w:rsidDel="00000000" w:rsidR="00000000" w:rsidRPr="00000000">
        <w:rPr>
          <w:color w:val="525252"/>
          <w:rtl w:val="0"/>
        </w:rPr>
        <w:t xml:space="preserve">As of 03 December, the official exchange rate is 1,785 MMK to 1 USD,</w:t>
      </w:r>
      <w:r w:rsidDel="00000000" w:rsidR="00000000" w:rsidRPr="00000000">
        <w:rPr>
          <w:color w:val="525252"/>
          <w:vertAlign w:val="superscript"/>
        </w:rPr>
        <w:footnoteReference w:customMarkFollows="0" w:id="0"/>
      </w:r>
      <w:r w:rsidDel="00000000" w:rsidR="00000000" w:rsidRPr="00000000">
        <w:rPr>
          <w:color w:val="525252"/>
          <w:rtl w:val="0"/>
        </w:rPr>
        <w:t xml:space="preserve"> while the private money changer (over counter) rate is 1,850 MMK</w:t>
      </w:r>
      <w:r w:rsidDel="00000000" w:rsidR="00000000" w:rsidRPr="00000000">
        <w:rPr>
          <w:color w:val="525252"/>
          <w:vertAlign w:val="superscript"/>
        </w:rPr>
        <w:footnoteReference w:customMarkFollows="0" w:id="1"/>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1,300 MMK for 95 Octane and 1,240 MMK for premium Diesel per litre</w:t>
      </w:r>
      <w:r w:rsidDel="00000000" w:rsidR="00000000" w:rsidRPr="00000000">
        <w:rPr>
          <w:color w:val="525252"/>
          <w:vertAlign w:val="superscript"/>
        </w:rPr>
        <w:footnoteReference w:customMarkFollows="0" w:id="2"/>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bottom w:color="737373" w:space="1" w:sz="4" w:val="single"/>
        </w:pBdr>
        <w:spacing w:after="160" w:before="240" w:line="240" w:lineRule="auto"/>
        <w:jc w:val="both"/>
        <w:rPr>
          <w:b w:val="1"/>
          <w:smallCaps w:val="1"/>
          <w:sz w:val="28"/>
          <w:szCs w:val="28"/>
        </w:rPr>
      </w:pPr>
      <w:r w:rsidDel="00000000" w:rsidR="00000000" w:rsidRPr="00000000">
        <w:rPr>
          <w:b w:val="1"/>
          <w:smallCaps w:val="1"/>
          <w:sz w:val="28"/>
          <w:szCs w:val="28"/>
          <w:rtl w:val="0"/>
        </w:rPr>
        <w:t xml:space="preserve">KEY FIGURES</w:t>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36"/>
                <w:szCs w:val="36"/>
              </w:rPr>
            </w:pPr>
            <w:r w:rsidDel="00000000" w:rsidR="00000000" w:rsidRPr="00000000">
              <w:rPr>
                <w:b w:val="1"/>
                <w:smallCaps w:val="1"/>
                <w:color w:val="418fde"/>
                <w:sz w:val="48"/>
                <w:szCs w:val="48"/>
                <w:rtl w:val="0"/>
              </w:rPr>
              <w:t xml:space="preserve">1,850 mmk/</w:t>
            </w:r>
            <w:r w:rsidDel="00000000" w:rsidR="00000000" w:rsidRPr="00000000">
              <w:rPr>
                <w:b w:val="1"/>
                <w:smallCaps w:val="1"/>
                <w:color w:val="418fde"/>
                <w:sz w:val="36"/>
                <w:szCs w:val="36"/>
                <w:rtl w:val="0"/>
              </w:rPr>
              <w:t xml:space="preserve">$</w:t>
            </w:r>
          </w:p>
          <w:p w:rsidR="00000000" w:rsidDel="00000000" w:rsidP="00000000" w:rsidRDefault="00000000" w:rsidRPr="00000000" w14:paraId="0000000C">
            <w:pPr>
              <w:keepNext w:val="0"/>
              <w:keepLines w:val="0"/>
              <w:widowControl w:val="1"/>
              <w:spacing w:after="0" w:line="240" w:lineRule="auto"/>
              <w:jc w:val="both"/>
              <w:rPr>
                <w:sz w:val="18"/>
                <w:szCs w:val="18"/>
              </w:rPr>
            </w:pPr>
            <w:r w:rsidDel="00000000" w:rsidR="00000000" w:rsidRPr="00000000">
              <w:rPr>
                <w:sz w:val="18"/>
                <w:szCs w:val="18"/>
                <w:rtl w:val="0"/>
              </w:rPr>
              <w:t xml:space="preserve">USD exchange rate at private counter</w:t>
            </w:r>
          </w:p>
        </w:tc>
        <w:tc>
          <w:tcPr>
            <w:shd w:fill="e9f3fa" w:val="clear"/>
            <w:tcMar>
              <w:top w:w="144.0" w:type="dxa"/>
              <w:left w:w="144.0" w:type="dxa"/>
              <w:bottom w:w="144.0" w:type="dxa"/>
              <w:right w:w="144.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5 - 7%</w:t>
            </w:r>
          </w:p>
          <w:p w:rsidR="00000000" w:rsidDel="00000000" w:rsidP="00000000" w:rsidRDefault="00000000" w:rsidRPr="00000000" w14:paraId="0000000E">
            <w:pPr>
              <w:keepNext w:val="0"/>
              <w:keepLines w:val="0"/>
              <w:widowControl w:val="1"/>
              <w:spacing w:after="0" w:line="240" w:lineRule="auto"/>
              <w:jc w:val="both"/>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F">
            <w:pPr>
              <w:keepNext w:val="0"/>
              <w:keepLines w:val="0"/>
              <w:widowControl w:val="1"/>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1,240mmk</w:t>
            </w:r>
          </w:p>
          <w:p w:rsidR="00000000" w:rsidDel="00000000" w:rsidP="00000000" w:rsidRDefault="00000000" w:rsidRPr="00000000" w14:paraId="00000010">
            <w:pPr>
              <w:keepNext w:val="0"/>
              <w:keepLines w:val="0"/>
              <w:widowControl w:val="1"/>
              <w:spacing w:after="0" w:line="240" w:lineRule="auto"/>
              <w:jc w:val="both"/>
              <w:rPr>
                <w:sz w:val="18"/>
                <w:szCs w:val="18"/>
              </w:rPr>
            </w:pPr>
            <w:r w:rsidDel="00000000" w:rsidR="00000000" w:rsidRPr="00000000">
              <w:rPr>
                <w:sz w:val="18"/>
                <w:szCs w:val="18"/>
                <w:rtl w:val="0"/>
              </w:rPr>
              <w:t xml:space="preserve">Yangon Premium Diesel rate</w:t>
            </w:r>
          </w:p>
        </w:tc>
      </w:tr>
    </w:tbl>
    <w:p w:rsidR="00000000" w:rsidDel="00000000" w:rsidP="00000000" w:rsidRDefault="00000000" w:rsidRPr="00000000" w14:paraId="00000011">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smallCaps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i w:val="0"/>
          <w:smallCaps w:val="1"/>
          <w:strike w:val="0"/>
          <w:color w:val="4d4d4d"/>
          <w:sz w:val="28"/>
          <w:szCs w:val="28"/>
          <w:u w:val="none"/>
          <w:shd w:fill="auto" w:val="clear"/>
          <w:vertAlign w:val="baseline"/>
        </w:rPr>
      </w:pPr>
      <w:r w:rsidDel="00000000" w:rsidR="00000000" w:rsidRPr="00000000">
        <w:rPr>
          <w:b w:val="1"/>
          <w:i w:val="0"/>
          <w:smallCaps w:val="1"/>
          <w:strike w:val="0"/>
          <w:color w:val="4d4d4d"/>
          <w:sz w:val="28"/>
          <w:szCs w:val="28"/>
          <w:u w:val="none"/>
          <w:shd w:fill="auto" w:val="clear"/>
          <w:vertAlign w:val="baseline"/>
          <w:rtl w:val="0"/>
        </w:rPr>
        <w:t xml:space="preserve">SITUATION UPDATE</w:t>
      </w:r>
      <w:r w:rsidDel="00000000" w:rsidR="00000000" w:rsidRPr="00000000">
        <w:rPr>
          <w:rtl w:val="0"/>
        </w:rPr>
      </w:r>
    </w:p>
    <w:p w:rsidR="00000000" w:rsidDel="00000000" w:rsidP="00000000" w:rsidRDefault="00000000" w:rsidRPr="00000000" w14:paraId="00000013">
      <w:pPr>
        <w:keepLines w:val="0"/>
        <w:widowControl w:val="1"/>
        <w:spacing w:after="0" w:line="240" w:lineRule="auto"/>
        <w:jc w:val="both"/>
        <w:rPr/>
      </w:pPr>
      <w:bookmarkStart w:colFirst="0" w:colLast="0" w:name="_heading=h.xfszfudilk6d" w:id="2"/>
      <w:bookmarkEnd w:id="2"/>
      <w:r w:rsidDel="00000000" w:rsidR="00000000" w:rsidRPr="00000000">
        <w:rPr>
          <w:rtl w:val="0"/>
        </w:rPr>
        <w:t xml:space="preserve">Cash liquidity and banking challenges have impacted all program-related activities. They particularly impacted the ability to receive cash from donors, procurement processes, and cash distributions. Many CWG partners continue to implement using third party financial service providers (FSPs) to secure enough cash for distributions and program operations. While the mobile money company Ooredoo M-Pitesan services have been discontinued, others continue to operate and are successfully used by partners. </w:t>
      </w:r>
    </w:p>
    <w:p w:rsidR="00000000" w:rsidDel="00000000" w:rsidP="00000000" w:rsidRDefault="00000000" w:rsidRPr="00000000" w14:paraId="00000014">
      <w:pPr>
        <w:keepLines w:val="0"/>
        <w:widowControl w:val="1"/>
        <w:spacing w:after="0" w:line="240" w:lineRule="auto"/>
        <w:jc w:val="both"/>
        <w:rPr/>
      </w:pPr>
      <w:bookmarkStart w:colFirst="0" w:colLast="0" w:name="_heading=h.q47j3cyiispj" w:id="3"/>
      <w:bookmarkEnd w:id="3"/>
      <w:r w:rsidDel="00000000" w:rsidR="00000000" w:rsidRPr="00000000">
        <w:rPr>
          <w:rtl w:val="0"/>
        </w:rPr>
      </w:r>
    </w:p>
    <w:p w:rsidR="00000000" w:rsidDel="00000000" w:rsidP="00000000" w:rsidRDefault="00000000" w:rsidRPr="00000000" w14:paraId="00000015">
      <w:pPr>
        <w:keepLines w:val="0"/>
        <w:widowControl w:val="1"/>
        <w:spacing w:after="0" w:line="240" w:lineRule="auto"/>
        <w:jc w:val="both"/>
        <w:rPr/>
      </w:pPr>
      <w:r w:rsidDel="00000000" w:rsidR="00000000" w:rsidRPr="00000000">
        <w:rPr>
          <w:rtl w:val="0"/>
        </w:rPr>
        <w:t xml:space="preserve">In Kachin, </w:t>
      </w:r>
      <w:r w:rsidDel="00000000" w:rsidR="00000000" w:rsidRPr="00000000">
        <w:rPr>
          <w:rtl w:val="0"/>
        </w:rPr>
        <w:t xml:space="preserve">CWG partners still face liquidity issues. Some partners have to pay a high percentage for cash out/ delivery fees (between 5.8 - 6.5 %). Due to ongoing armed conflict and increased crime, there have been security concerns for field staff.</w:t>
      </w:r>
      <w:r w:rsidDel="00000000" w:rsidR="00000000" w:rsidRPr="00000000">
        <w:rPr>
          <w:rtl w:val="0"/>
        </w:rPr>
        <w:t xml:space="preserve"> Starting from October 2021, a </w:t>
      </w:r>
      <w:hyperlink r:id="rId9">
        <w:r w:rsidDel="00000000" w:rsidR="00000000" w:rsidRPr="00000000">
          <w:rPr>
            <w:color w:val="1155cc"/>
            <w:u w:val="single"/>
            <w:rtl w:val="0"/>
          </w:rPr>
          <w:t xml:space="preserve">new transfer value </w:t>
        </w:r>
      </w:hyperlink>
      <w:r w:rsidDel="00000000" w:rsidR="00000000" w:rsidRPr="00000000">
        <w:rPr>
          <w:rtl w:val="0"/>
        </w:rPr>
        <w:t xml:space="preserve"> is being used for WFP cash distributions. Partners have been monitoring the capacity of money transfer agents and are planning to resume e-cash activities soon. More private banks have resumed operations in Kachin State.</w:t>
      </w:r>
    </w:p>
    <w:p w:rsidR="00000000" w:rsidDel="00000000" w:rsidP="00000000" w:rsidRDefault="00000000" w:rsidRPr="00000000" w14:paraId="00000016">
      <w:pPr>
        <w:keepLines w:val="0"/>
        <w:widowControl w:val="1"/>
        <w:spacing w:after="0" w:line="240" w:lineRule="auto"/>
        <w:jc w:val="both"/>
        <w:rPr>
          <w:shd w:fill="fff2cc" w:val="clear"/>
        </w:rPr>
      </w:pPr>
      <w:bookmarkStart w:colFirst="0" w:colLast="0" w:name="_heading=h.lmg6d758h64" w:id="4"/>
      <w:bookmarkEnd w:id="4"/>
      <w:r w:rsidDel="00000000" w:rsidR="00000000" w:rsidRPr="00000000">
        <w:rPr>
          <w:rtl w:val="0"/>
        </w:rPr>
      </w:r>
    </w:p>
    <w:p w:rsidR="00000000" w:rsidDel="00000000" w:rsidP="00000000" w:rsidRDefault="00000000" w:rsidRPr="00000000" w14:paraId="00000017">
      <w:pPr>
        <w:spacing w:after="0" w:lineRule="auto"/>
        <w:jc w:val="both"/>
        <w:rPr>
          <w:color w:val="525252"/>
        </w:rPr>
      </w:pPr>
      <w:r w:rsidDel="00000000" w:rsidR="00000000" w:rsidRPr="00000000">
        <w:rPr>
          <w:color w:val="525252"/>
          <w:rtl w:val="0"/>
        </w:rPr>
        <w:t xml:space="preserve">In Rakhine, fuel prices remained high, affecting the transport costs for goods. The prices of goods and services are expected to remain high, and in some cases, they will continue to increase depending on distances from source markets, road conditions and extortion levels at checkpoints. In response to the changes in market prices, WFP increased beneficiary entitlements in Sittwe, Mrauk U, Myebon,  from 15,000MMK to 16,000 and 17,000MMK depending on the food basket costs in the respective areas.</w:t>
      </w:r>
    </w:p>
    <w:p w:rsidR="00000000" w:rsidDel="00000000" w:rsidP="00000000" w:rsidRDefault="00000000" w:rsidRPr="00000000" w14:paraId="00000018">
      <w:pPr>
        <w:spacing w:after="0" w:lineRule="auto"/>
        <w:jc w:val="both"/>
        <w:rPr>
          <w:color w:val="525252"/>
        </w:rPr>
      </w:pPr>
      <w:r w:rsidDel="00000000" w:rsidR="00000000" w:rsidRPr="00000000">
        <w:rPr>
          <w:color w:val="525252"/>
          <w:rtl w:val="0"/>
        </w:rPr>
        <w:t xml:space="preserve"> </w:t>
      </w:r>
    </w:p>
    <w:p w:rsidR="00000000" w:rsidDel="00000000" w:rsidP="00000000" w:rsidRDefault="00000000" w:rsidRPr="00000000" w14:paraId="00000019">
      <w:pPr>
        <w:spacing w:after="0" w:lineRule="auto"/>
        <w:jc w:val="both"/>
        <w:rPr>
          <w:shd w:fill="fff2cc" w:val="clear"/>
          <w:vertAlign w:val="superscript"/>
        </w:rPr>
      </w:pPr>
      <w:r w:rsidDel="00000000" w:rsidR="00000000" w:rsidRPr="00000000">
        <w:rPr>
          <w:color w:val="525252"/>
          <w:rtl w:val="0"/>
        </w:rPr>
        <w:t xml:space="preserve">Daily cash withdrawal limitations at CB and KBZ banks are 200,000 MMK, Yoma and AYA 300,000MMK and AGD 100,000 MMK per day, per savings account</w:t>
      </w:r>
      <w:r w:rsidDel="00000000" w:rsidR="00000000" w:rsidRPr="00000000">
        <w:rPr>
          <w:rtl w:val="0"/>
        </w:rPr>
        <w:t xml:space="preserve">.</w:t>
      </w:r>
      <w:r w:rsidDel="00000000" w:rsidR="00000000" w:rsidRPr="00000000">
        <w:rPr>
          <w:vertAlign w:val="superscript"/>
        </w:rPr>
        <w:footnoteReference w:customMarkFollows="0" w:id="3"/>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1A">
      <w:pPr>
        <w:spacing w:after="0" w:lineRule="auto"/>
        <w:ind w:left="0" w:firstLine="0"/>
        <w:jc w:val="both"/>
        <w:rPr>
          <w:color w:val="525252"/>
        </w:rPr>
      </w:pPr>
      <w:r w:rsidDel="00000000" w:rsidR="00000000" w:rsidRPr="00000000">
        <w:rPr>
          <w:color w:val="525252"/>
          <w:rtl w:val="0"/>
        </w:rPr>
        <w:t xml:space="preserve">As of 03 December, the official exchange rate is 1,785 MMK to 1 USD</w:t>
      </w:r>
      <w:r w:rsidDel="00000000" w:rsidR="00000000" w:rsidRPr="00000000">
        <w:rPr>
          <w:color w:val="525252"/>
          <w:vertAlign w:val="superscript"/>
          <w:rtl w:val="0"/>
        </w:rPr>
        <w:t xml:space="preserve">1</w:t>
      </w:r>
      <w:r w:rsidDel="00000000" w:rsidR="00000000" w:rsidRPr="00000000">
        <w:rPr>
          <w:color w:val="525252"/>
          <w:rtl w:val="0"/>
        </w:rPr>
        <w:t xml:space="preserve">; however, the private money changer (over counter) rate is 1,850 MMK</w:t>
      </w:r>
      <w:r w:rsidDel="00000000" w:rsidR="00000000" w:rsidRPr="00000000">
        <w:rPr>
          <w:color w:val="525252"/>
          <w:vertAlign w:val="superscript"/>
          <w:rtl w:val="0"/>
        </w:rPr>
        <w:t xml:space="preserve">2</w:t>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1,405 MMK for 95 Octane and 1,325 MMK for premium Diesel per litre</w:t>
      </w:r>
      <w:r w:rsidDel="00000000" w:rsidR="00000000" w:rsidRPr="00000000">
        <w:rPr>
          <w:color w:val="525252"/>
          <w:vertAlign w:val="superscript"/>
          <w:rtl w:val="0"/>
        </w:rPr>
        <w:t xml:space="preserve">3</w:t>
      </w:r>
      <w:r w:rsidDel="00000000" w:rsidR="00000000" w:rsidRPr="00000000">
        <w:rPr>
          <w:color w:val="525252"/>
          <w:rtl w:val="0"/>
        </w:rPr>
        <w:t xml:space="preserve">.</w:t>
      </w:r>
    </w:p>
    <w:p w:rsidR="00000000" w:rsidDel="00000000" w:rsidP="00000000" w:rsidRDefault="00000000" w:rsidRPr="00000000" w14:paraId="0000001B">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1C">
      <w:pPr>
        <w:shd w:fill="ffffff" w:val="clear"/>
        <w:spacing w:after="0" w:lineRule="auto"/>
        <w:jc w:val="both"/>
        <w:rPr/>
      </w:pPr>
      <w:r w:rsidDel="00000000" w:rsidR="00000000" w:rsidRPr="00000000">
        <w:rPr>
          <w:color w:val="525252"/>
          <w:rtl w:val="0"/>
        </w:rPr>
        <w:t xml:space="preserve">The i</w:t>
      </w:r>
      <w:r w:rsidDel="00000000" w:rsidR="00000000" w:rsidRPr="00000000">
        <w:rPr>
          <w:color w:val="525252"/>
          <w:rtl w:val="0"/>
        </w:rPr>
        <w:t xml:space="preserve">nternational bank transfer to in-country accounts and cash exchange from USD to MMK remains limited. There is more flexibility for USD/MMK exchanges related to payroll, but cash for program expenses requires additional paperwork. After the Central Bank issued a letter about the limitation of cash payment up to 20 million MMK, some informal service providers increased their rates 0.5 ~ 1%. Most banks can provide cash withdrawal for the partial salary payment and some office running cost with supporting documents.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rFonts w:ascii="Arial" w:cs="Arial" w:eastAsia="Arial" w:hAnsi="Arial"/>
          <w:color w:val="525252"/>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jc w:val="both"/>
        <w:rPr>
          <w:rFonts w:ascii="Arial" w:cs="Arial" w:eastAsia="Arial" w:hAnsi="Arial"/>
          <w:color w:val="525252"/>
        </w:rPr>
      </w:pPr>
      <w:r w:rsidDel="00000000" w:rsidR="00000000" w:rsidRPr="00000000">
        <w:rPr>
          <w:color w:val="525252"/>
          <w:rtl w:val="0"/>
        </w:rPr>
        <w:t xml:space="preserve">The Myanmar Cash Working Group monthly meeting for November was organized on 11 November. The key presentation materials are here: </w:t>
      </w:r>
      <w:hyperlink r:id="rId10">
        <w:r w:rsidDel="00000000" w:rsidR="00000000" w:rsidRPr="00000000">
          <w:rPr>
            <w:color w:val="418fde"/>
            <w:rtl w:val="0"/>
          </w:rPr>
          <w:t xml:space="preserve">Market Price Update (October) from WFP</w:t>
        </w:r>
      </w:hyperlink>
      <w:r w:rsidDel="00000000" w:rsidR="00000000" w:rsidRPr="00000000">
        <w:rPr>
          <w:color w:val="418fde"/>
          <w:rtl w:val="0"/>
        </w:rPr>
        <w:t xml:space="preserve">,</w:t>
      </w:r>
      <w:r w:rsidDel="00000000" w:rsidR="00000000" w:rsidRPr="00000000">
        <w:rPr>
          <w:color w:val="418fde"/>
          <w:rtl w:val="0"/>
        </w:rPr>
        <w:t xml:space="preserve"> </w:t>
      </w:r>
      <w:hyperlink r:id="rId11">
        <w:r w:rsidDel="00000000" w:rsidR="00000000" w:rsidRPr="00000000">
          <w:rPr>
            <w:color w:val="418fde"/>
            <w:rtl w:val="0"/>
          </w:rPr>
          <w:t xml:space="preserve">Brief Intro of Wynepay</w:t>
        </w:r>
      </w:hyperlink>
      <w:r w:rsidDel="00000000" w:rsidR="00000000" w:rsidRPr="00000000">
        <w:rPr>
          <w:color w:val="418fde"/>
          <w:rtl w:val="0"/>
        </w:rPr>
        <w:t xml:space="preserve">, </w:t>
      </w:r>
      <w:hyperlink r:id="rId12">
        <w:r w:rsidDel="00000000" w:rsidR="00000000" w:rsidRPr="00000000">
          <w:rPr>
            <w:color w:val="418fde"/>
            <w:rtl w:val="0"/>
          </w:rPr>
          <w:t xml:space="preserve">Overview of Ongo Mobile Financial Service</w:t>
        </w:r>
      </w:hyperlink>
      <w:r w:rsidDel="00000000" w:rsidR="00000000" w:rsidRPr="00000000">
        <w:rPr>
          <w:color w:val="525252"/>
          <w:rtl w:val="0"/>
        </w:rPr>
        <w:t xml:space="preserve">. The November meeting minutes can be found </w:t>
      </w:r>
      <w:hyperlink r:id="rId13">
        <w:r w:rsidDel="00000000" w:rsidR="00000000" w:rsidRPr="00000000">
          <w:rPr>
            <w:color w:val="418fde"/>
            <w:rtl w:val="0"/>
          </w:rPr>
          <w:t xml:space="preserve">here</w:t>
        </w:r>
      </w:hyperlink>
      <w:r w:rsidDel="00000000" w:rsidR="00000000" w:rsidRPr="00000000">
        <w:rPr>
          <w:color w:val="525252"/>
          <w:rtl w:val="0"/>
        </w:rPr>
        <w:t xml:space="preserve">.</w:t>
      </w:r>
    </w:p>
    <w:p w:rsidR="00000000" w:rsidDel="00000000" w:rsidP="00000000" w:rsidRDefault="00000000" w:rsidRPr="00000000" w14:paraId="0000001F">
      <w:pPr>
        <w:keepLines w:val="0"/>
        <w:widowControl w:val="1"/>
        <w:numPr>
          <w:ilvl w:val="0"/>
          <w:numId w:val="2"/>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Cash Working Group and ICCG have endorsed the </w:t>
      </w:r>
      <w:hyperlink r:id="rId14">
        <w:r w:rsidDel="00000000" w:rsidR="00000000" w:rsidRPr="00000000">
          <w:rPr>
            <w:color w:val="418fde"/>
            <w:rtl w:val="0"/>
          </w:rPr>
          <w:t xml:space="preserve">MEB calculation</w:t>
        </w:r>
      </w:hyperlink>
      <w:r w:rsidDel="00000000" w:rsidR="00000000" w:rsidRPr="00000000">
        <w:rPr>
          <w:color w:val="525252"/>
          <w:rtl w:val="0"/>
        </w:rPr>
        <w:t xml:space="preserve"> and </w:t>
      </w:r>
      <w:hyperlink r:id="rId15">
        <w:r w:rsidDel="00000000" w:rsidR="00000000" w:rsidRPr="00000000">
          <w:rPr>
            <w:color w:val="418fde"/>
            <w:rtl w:val="0"/>
          </w:rPr>
          <w:t xml:space="preserve">Technical summary note</w:t>
        </w:r>
      </w:hyperlink>
      <w:r w:rsidDel="00000000" w:rsidR="00000000" w:rsidRPr="00000000">
        <w:rPr>
          <w:color w:val="525252"/>
          <w:rtl w:val="0"/>
        </w:rPr>
        <w:t xml:space="preserve"> which are available on MIMU Cash Programming site. Questions can be directed to CWG chairs and co-chairs.</w:t>
      </w:r>
      <w:r w:rsidDel="00000000" w:rsidR="00000000" w:rsidRPr="00000000">
        <w:rPr>
          <w:rtl w:val="0"/>
        </w:rPr>
      </w:r>
    </w:p>
    <w:p w:rsidR="00000000" w:rsidDel="00000000" w:rsidP="00000000" w:rsidRDefault="00000000" w:rsidRPr="00000000" w14:paraId="00000020">
      <w:pPr>
        <w:keepLines w:val="0"/>
        <w:widowControl w:val="1"/>
        <w:numPr>
          <w:ilvl w:val="0"/>
          <w:numId w:val="2"/>
        </w:numPr>
        <w:spacing w:after="0" w:line="240" w:lineRule="auto"/>
        <w:ind w:left="720" w:hanging="360"/>
        <w:jc w:val="both"/>
        <w:rPr>
          <w:rFonts w:ascii="Arial" w:cs="Arial" w:eastAsia="Arial" w:hAnsi="Arial"/>
          <w:color w:val="525252"/>
        </w:rPr>
      </w:pPr>
      <w:hyperlink r:id="rId16">
        <w:r w:rsidDel="00000000" w:rsidR="00000000" w:rsidRPr="00000000">
          <w:rPr>
            <w:color w:val="418fde"/>
            <w:rtl w:val="0"/>
          </w:rPr>
          <w:t xml:space="preserve">Myanmar CVA 4W</w:t>
        </w:r>
      </w:hyperlink>
      <w:r w:rsidDel="00000000" w:rsidR="00000000" w:rsidRPr="00000000">
        <w:rPr>
          <w:color w:val="418fde"/>
          <w:rtl w:val="0"/>
        </w:rPr>
        <w:t xml:space="preserve">s for 2020</w:t>
      </w:r>
      <w:r w:rsidDel="00000000" w:rsidR="00000000" w:rsidRPr="00000000">
        <w:rPr>
          <w:color w:val="525252"/>
          <w:rtl w:val="0"/>
        </w:rPr>
        <w:t xml:space="preserve"> is available online and the dashboard can be found </w:t>
      </w:r>
      <w:hyperlink r:id="rId17">
        <w:r w:rsidDel="00000000" w:rsidR="00000000" w:rsidRPr="00000000">
          <w:rPr>
            <w:color w:val="418fde"/>
            <w:rtl w:val="0"/>
          </w:rPr>
          <w:t xml:space="preserve">here</w:t>
        </w:r>
      </w:hyperlink>
      <w:r w:rsidDel="00000000" w:rsidR="00000000" w:rsidRPr="00000000">
        <w:rPr>
          <w:color w:val="525252"/>
          <w:rtl w:val="0"/>
        </w:rPr>
        <w:t xml:space="preserve">. CWG has conducted 3Ws on partners’ implementing surveys in September 2021, data can be found</w:t>
      </w:r>
      <w:hyperlink r:id="rId18">
        <w:r w:rsidDel="00000000" w:rsidR="00000000" w:rsidRPr="00000000">
          <w:rPr>
            <w:color w:val="1155cc"/>
            <w:rtl w:val="0"/>
          </w:rPr>
          <w:t xml:space="preserve"> </w:t>
        </w:r>
      </w:hyperlink>
      <w:hyperlink r:id="rId19">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1">
      <w:pPr>
        <w:keepLines w:val="0"/>
        <w:widowControl w:val="1"/>
        <w:numPr>
          <w:ilvl w:val="0"/>
          <w:numId w:val="2"/>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20">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21">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 </w:t>
      </w:r>
      <w:r w:rsidDel="00000000" w:rsidR="00000000" w:rsidRPr="00000000">
        <w:rPr>
          <w:i w:val="1"/>
          <w:highlight w:val="white"/>
          <w:rtl w:val="0"/>
        </w:rPr>
        <w:t xml:space="preserve">Product Specifications</w:t>
      </w:r>
      <w:r w:rsidDel="00000000" w:rsidR="00000000" w:rsidRPr="00000000">
        <w:rPr>
          <w:highlight w:val="white"/>
          <w:rtl w:val="0"/>
        </w:rPr>
        <w:t xml:space="preserve"> document (see </w:t>
      </w:r>
      <w:hyperlink r:id="rId22">
        <w:r w:rsidDel="00000000" w:rsidR="00000000" w:rsidRPr="00000000">
          <w:rPr>
            <w:color w:val="418fde"/>
            <w:highlight w:val="white"/>
            <w:rtl w:val="0"/>
          </w:rPr>
          <w:t xml:space="preserve">here</w:t>
        </w:r>
      </w:hyperlink>
      <w:r w:rsidDel="00000000" w:rsidR="00000000" w:rsidRPr="00000000">
        <w:rPr>
          <w:highlight w:val="white"/>
          <w:rtl w:val="0"/>
        </w:rPr>
        <w:t xml:space="preserve">) provides detailed specifications used during price collection in order to help third parties interpret and use MPR data. These specifications may be updated periodically and are also available for download on</w:t>
      </w:r>
      <w:r w:rsidDel="00000000" w:rsidR="00000000" w:rsidRPr="00000000">
        <w:rPr>
          <w:color w:val="418fde"/>
          <w:highlight w:val="white"/>
          <w:rtl w:val="0"/>
        </w:rPr>
        <w:t xml:space="preserve"> </w:t>
      </w:r>
      <w:hyperlink r:id="rId23">
        <w:r w:rsidDel="00000000" w:rsidR="00000000" w:rsidRPr="00000000">
          <w:rPr>
            <w:color w:val="418fde"/>
            <w:highlight w:val="white"/>
            <w:rtl w:val="0"/>
          </w:rPr>
          <w:t xml:space="preserve">the MPR dashboard</w:t>
        </w:r>
      </w:hyperlink>
      <w:r w:rsidDel="00000000" w:rsidR="00000000" w:rsidRPr="00000000">
        <w:rPr>
          <w:highlight w:val="white"/>
          <w:rtl w:val="0"/>
        </w:rPr>
        <w:t xml:space="preserve"> on MIMU.</w:t>
      </w:r>
      <w:r w:rsidDel="00000000" w:rsidR="00000000" w:rsidRPr="00000000">
        <w:rPr>
          <w:rtl w:val="0"/>
        </w:rPr>
      </w:r>
    </w:p>
    <w:p w:rsidR="00000000" w:rsidDel="00000000" w:rsidP="00000000" w:rsidRDefault="00000000" w:rsidRPr="00000000" w14:paraId="00000022">
      <w:pPr>
        <w:keepLines w:val="0"/>
        <w:widowControl w:val="1"/>
        <w:numPr>
          <w:ilvl w:val="0"/>
          <w:numId w:val="6"/>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has a nationwide market monitoring </w:t>
      </w:r>
      <w:hyperlink r:id="rId24">
        <w:r w:rsidDel="00000000" w:rsidR="00000000" w:rsidRPr="00000000">
          <w:rPr>
            <w:color w:val="418fde"/>
            <w:highlight w:val="white"/>
            <w:rtl w:val="0"/>
          </w:rPr>
          <w:t xml:space="preserve">dashboard</w:t>
        </w:r>
      </w:hyperlink>
      <w:r w:rsidDel="00000000" w:rsidR="00000000" w:rsidRPr="00000000">
        <w:rPr>
          <w:color w:val="418fde"/>
          <w:highlight w:val="white"/>
          <w:rtl w:val="0"/>
        </w:rPr>
        <w:t xml:space="preserve"> </w:t>
      </w:r>
      <w:r w:rsidDel="00000000" w:rsidR="00000000" w:rsidRPr="00000000">
        <w:rPr>
          <w:color w:val="525252"/>
          <w:highlight w:val="white"/>
          <w:rtl w:val="0"/>
        </w:rPr>
        <w:t xml:space="preserve">and</w:t>
      </w:r>
      <w:r w:rsidDel="00000000" w:rsidR="00000000" w:rsidRPr="00000000">
        <w:rPr>
          <w:highlight w:val="white"/>
          <w:rtl w:val="0"/>
        </w:rPr>
        <w:t xml:space="preserve"> to access reports</w:t>
      </w:r>
      <w:r w:rsidDel="00000000" w:rsidR="00000000" w:rsidRPr="00000000">
        <w:rPr>
          <w:rFonts w:ascii="Calibri" w:cs="Calibri" w:eastAsia="Calibri" w:hAnsi="Calibri"/>
          <w:sz w:val="22"/>
          <w:szCs w:val="22"/>
          <w:highlight w:val="white"/>
          <w:rtl w:val="0"/>
        </w:rPr>
        <w:t xml:space="preserve">, </w:t>
      </w:r>
      <w:r w:rsidDel="00000000" w:rsidR="00000000" w:rsidRPr="00000000">
        <w:rPr>
          <w:highlight w:val="white"/>
          <w:rtl w:val="0"/>
        </w:rPr>
        <w:t xml:space="preserve">here is the </w:t>
      </w:r>
      <w:hyperlink r:id="rId25">
        <w:r w:rsidDel="00000000" w:rsidR="00000000" w:rsidRPr="00000000">
          <w:rPr>
            <w:color w:val="1155cc"/>
            <w:sz w:val="18"/>
            <w:szCs w:val="18"/>
            <w:highlight w:val="white"/>
            <w:rtl w:val="0"/>
          </w:rPr>
          <w:t xml:space="preserve">link</w:t>
        </w:r>
      </w:hyperlink>
      <w:hyperlink r:id="rId26">
        <w:r w:rsidDel="00000000" w:rsidR="00000000" w:rsidRPr="00000000">
          <w:rPr>
            <w:color w:val="1155cc"/>
            <w:highlight w:val="white"/>
            <w:rtl w:val="0"/>
          </w:rPr>
          <w:t xml:space="preserve"> to featured reports.</w:t>
        </w:r>
      </w:hyperlink>
      <w:r w:rsidDel="00000000" w:rsidR="00000000" w:rsidRPr="00000000">
        <w:rPr>
          <w:rtl w:val="0"/>
        </w:rPr>
      </w:r>
    </w:p>
    <w:p w:rsidR="00000000" w:rsidDel="00000000" w:rsidP="00000000" w:rsidRDefault="00000000" w:rsidRPr="00000000" w14:paraId="00000023">
      <w:pPr>
        <w:keepLines w:val="0"/>
        <w:widowControl w:val="1"/>
        <w:numPr>
          <w:ilvl w:val="0"/>
          <w:numId w:val="6"/>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27">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4">
      <w:pPr>
        <w:keepLines w:val="0"/>
        <w:widowControl w:val="1"/>
        <w:numPr>
          <w:ilvl w:val="0"/>
          <w:numId w:val="1"/>
        </w:numPr>
        <w:shd w:fill="ffffff" w:val="clear"/>
        <w:spacing w:after="0" w:line="240" w:lineRule="auto"/>
        <w:ind w:left="720" w:hanging="360"/>
        <w:jc w:val="both"/>
        <w:rPr/>
      </w:pPr>
      <w:hyperlink r:id="rId28">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p>
    <w:p w:rsidR="00000000" w:rsidDel="00000000" w:rsidP="00000000" w:rsidRDefault="00000000" w:rsidRPr="00000000" w14:paraId="00000025">
      <w:pPr>
        <w:pBdr>
          <w:bottom w:color="737373" w:space="1" w:sz="4" w:val="single"/>
        </w:pBdr>
        <w:spacing w:after="160" w:before="240" w:lineRule="auto"/>
        <w:jc w:val="both"/>
        <w:rPr>
          <w:color w:val="525252"/>
          <w:highlight w:val="white"/>
        </w:rPr>
      </w:pPr>
      <w:r w:rsidDel="00000000" w:rsidR="00000000" w:rsidRPr="00000000">
        <w:rPr>
          <w:b w:val="1"/>
          <w:smallCaps w:val="1"/>
          <w:sz w:val="28"/>
          <w:szCs w:val="28"/>
          <w:rtl w:val="0"/>
        </w:rPr>
        <w:t xml:space="preserve">publication</w:t>
      </w:r>
      <w:r w:rsidDel="00000000" w:rsidR="00000000" w:rsidRPr="00000000">
        <w:rPr>
          <w:rtl w:val="0"/>
        </w:rPr>
      </w:r>
    </w:p>
    <w:p w:rsidR="00000000" w:rsidDel="00000000" w:rsidP="00000000" w:rsidRDefault="00000000" w:rsidRPr="00000000" w14:paraId="00000026">
      <w:pPr>
        <w:numPr>
          <w:ilvl w:val="0"/>
          <w:numId w:val="3"/>
        </w:numPr>
        <w:shd w:fill="ffffff" w:val="clear"/>
        <w:spacing w:after="0" w:before="120" w:line="276" w:lineRule="auto"/>
        <w:ind w:left="720" w:hanging="360"/>
        <w:jc w:val="both"/>
        <w:rPr>
          <w:color w:val="4d4d4d"/>
          <w:highlight w:val="white"/>
        </w:rPr>
      </w:pPr>
      <w:r w:rsidDel="00000000" w:rsidR="00000000" w:rsidRPr="00000000">
        <w:rPr>
          <w:rtl w:val="0"/>
        </w:rPr>
        <w:t xml:space="preserve">Mercy Corps has released its two October Market Price reports which summarizes prices for goods in </w:t>
      </w:r>
      <w:hyperlink r:id="rId29">
        <w:r w:rsidDel="00000000" w:rsidR="00000000" w:rsidRPr="00000000">
          <w:rPr>
            <w:color w:val="418fde"/>
            <w:rtl w:val="0"/>
          </w:rPr>
          <w:t xml:space="preserve">South East</w:t>
        </w:r>
      </w:hyperlink>
      <w:r w:rsidDel="00000000" w:rsidR="00000000" w:rsidRPr="00000000">
        <w:rPr>
          <w:rtl w:val="0"/>
        </w:rPr>
        <w:t xml:space="preserve"> and </w:t>
      </w:r>
      <w:hyperlink r:id="rId30">
        <w:r w:rsidDel="00000000" w:rsidR="00000000" w:rsidRPr="00000000">
          <w:rPr>
            <w:color w:val="418fde"/>
            <w:rtl w:val="0"/>
          </w:rPr>
          <w:t xml:space="preserve">Rakhine</w:t>
        </w:r>
      </w:hyperlink>
      <w:r w:rsidDel="00000000" w:rsidR="00000000" w:rsidRPr="00000000">
        <w:rPr>
          <w:rtl w:val="0"/>
        </w:rPr>
        <w:t xml:space="preserve">.</w:t>
      </w:r>
      <w:r w:rsidDel="00000000" w:rsidR="00000000" w:rsidRPr="00000000">
        <w:rPr>
          <w:highlight w:val="white"/>
          <w:rtl w:val="0"/>
        </w:rPr>
        <w:t xml:space="preserve"> Additionally, Mercy Corps has published the </w:t>
      </w:r>
      <w:hyperlink r:id="rId31">
        <w:r w:rsidDel="00000000" w:rsidR="00000000" w:rsidRPr="00000000">
          <w:rPr>
            <w:color w:val="418fde"/>
            <w:highlight w:val="white"/>
            <w:rtl w:val="0"/>
          </w:rPr>
          <w:t xml:space="preserve">Impacts of the Early Waves of COVID-19 On Microfinance Clients in Rakhine State</w:t>
        </w:r>
      </w:hyperlink>
      <w:r w:rsidDel="00000000" w:rsidR="00000000" w:rsidRPr="00000000">
        <w:rPr>
          <w:sz w:val="16"/>
          <w:szCs w:val="16"/>
          <w:highlight w:val="white"/>
          <w:rtl w:val="0"/>
        </w:rPr>
        <w:t xml:space="preserve">, </w:t>
      </w:r>
      <w:r w:rsidDel="00000000" w:rsidR="00000000" w:rsidRPr="00000000">
        <w:rPr>
          <w:sz w:val="16"/>
          <w:szCs w:val="16"/>
          <w:highlight w:val="white"/>
          <w:rtl w:val="0"/>
        </w:rPr>
        <w:t xml:space="preserve"> </w:t>
      </w:r>
      <w:hyperlink r:id="rId32">
        <w:r w:rsidDel="00000000" w:rsidR="00000000" w:rsidRPr="00000000">
          <w:rPr>
            <w:color w:val="418fde"/>
            <w:highlight w:val="white"/>
            <w:rtl w:val="0"/>
          </w:rPr>
          <w:t xml:space="preserve">Market Actor Snapshot: Kayah</w:t>
        </w:r>
      </w:hyperlink>
      <w:r w:rsidDel="00000000" w:rsidR="00000000" w:rsidRPr="00000000">
        <w:rPr>
          <w:sz w:val="16"/>
          <w:szCs w:val="16"/>
          <w:highlight w:val="white"/>
          <w:rtl w:val="0"/>
        </w:rPr>
        <w:t xml:space="preserve"> </w:t>
      </w:r>
      <w:r w:rsidDel="00000000" w:rsidR="00000000" w:rsidRPr="00000000">
        <w:rPr>
          <w:highlight w:val="white"/>
          <w:rtl w:val="0"/>
        </w:rPr>
        <w:t xml:space="preserve">and </w:t>
      </w:r>
      <w:r w:rsidDel="00000000" w:rsidR="00000000" w:rsidRPr="00000000">
        <w:rPr>
          <w:highlight w:val="white"/>
          <w:rtl w:val="0"/>
        </w:rPr>
        <w:t xml:space="preserve">Market Actor Snapshot: Chin</w:t>
      </w:r>
      <w:r w:rsidDel="00000000" w:rsidR="00000000" w:rsidRPr="00000000">
        <w:rPr>
          <w:highlight w:val="white"/>
          <w:rtl w:val="0"/>
        </w:rPr>
        <w:t xml:space="preserve">. To receive reports directly you can contact Jonathan Bartolozzi (jbartolozzi@mercycorps.org).</w:t>
      </w:r>
      <w:r w:rsidDel="00000000" w:rsidR="00000000" w:rsidRPr="00000000">
        <w:rPr>
          <w:rtl w:val="0"/>
        </w:rPr>
      </w:r>
    </w:p>
    <w:p w:rsidR="00000000" w:rsidDel="00000000" w:rsidP="00000000" w:rsidRDefault="00000000" w:rsidRPr="00000000" w14:paraId="00000027">
      <w:pPr>
        <w:numPr>
          <w:ilvl w:val="0"/>
          <w:numId w:val="3"/>
        </w:numPr>
        <w:shd w:fill="ffffff" w:val="clear"/>
        <w:spacing w:after="0" w:line="276" w:lineRule="auto"/>
        <w:ind w:left="720" w:hanging="360"/>
        <w:jc w:val="both"/>
        <w:rPr>
          <w:color w:val="4d4d4d"/>
        </w:rPr>
      </w:pPr>
      <w:r w:rsidDel="00000000" w:rsidR="00000000" w:rsidRPr="00000000">
        <w:rPr>
          <w:rtl w:val="0"/>
        </w:rPr>
        <w:t xml:space="preserve">IFPRI Myanmar blog writes the </w:t>
      </w:r>
      <w:hyperlink r:id="rId33">
        <w:r w:rsidDel="00000000" w:rsidR="00000000" w:rsidRPr="00000000">
          <w:rPr>
            <w:color w:val="418fde"/>
            <w:rtl w:val="0"/>
          </w:rPr>
          <w:t xml:space="preserve">EFFECTS OF COVID-19 ON MYANMAR’S CROP TRADE SECTOR</w:t>
        </w:r>
      </w:hyperlink>
      <w:r w:rsidDel="00000000" w:rsidR="00000000" w:rsidRPr="00000000">
        <w:rPr>
          <w:color w:val="418fde"/>
          <w:rtl w:val="0"/>
        </w:rPr>
        <w:t xml:space="preserve">. </w:t>
      </w:r>
      <w:r w:rsidDel="00000000" w:rsidR="00000000" w:rsidRPr="00000000">
        <w:rPr>
          <w:sz w:val="21"/>
          <w:szCs w:val="21"/>
          <w:highlight w:val="white"/>
          <w:rtl w:val="0"/>
        </w:rPr>
        <w:t xml:space="preserve">This blog post presents highlights of the results from a telephone survey of crop traders from Shan, Mandalay, Sagaing, and Magway conducted in late September 2021. </w:t>
      </w:r>
      <w:r w:rsidDel="00000000" w:rsidR="00000000" w:rsidRPr="00000000">
        <w:rPr>
          <w:rtl w:val="0"/>
        </w:rPr>
      </w:r>
    </w:p>
    <w:p w:rsidR="00000000" w:rsidDel="00000000" w:rsidP="00000000" w:rsidRDefault="00000000" w:rsidRPr="00000000" w14:paraId="00000028">
      <w:pPr>
        <w:numPr>
          <w:ilvl w:val="0"/>
          <w:numId w:val="3"/>
        </w:numPr>
        <w:shd w:fill="ffffff" w:val="clear"/>
        <w:spacing w:after="0" w:line="276" w:lineRule="auto"/>
        <w:ind w:left="720" w:hanging="360"/>
        <w:jc w:val="both"/>
        <w:rPr>
          <w:u w:val="none"/>
        </w:rPr>
      </w:pPr>
      <w:r w:rsidDel="00000000" w:rsidR="00000000" w:rsidRPr="00000000">
        <w:rPr>
          <w:rtl w:val="0"/>
        </w:rPr>
        <w:t xml:space="preserve">Hellen Keller has published the Food Security Assessment (August 2021). The report can be found</w:t>
      </w:r>
      <w:r w:rsidDel="00000000" w:rsidR="00000000" w:rsidRPr="00000000">
        <w:rPr>
          <w:color w:val="418fde"/>
          <w:rtl w:val="0"/>
        </w:rPr>
        <w:t xml:space="preserve"> </w:t>
      </w:r>
      <w:hyperlink r:id="rId34">
        <w:r w:rsidDel="00000000" w:rsidR="00000000" w:rsidRPr="00000000">
          <w:rPr>
            <w:color w:val="418fd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keepLines w:val="0"/>
        <w:widowControl w:val="1"/>
        <w:pBdr>
          <w:bottom w:color="737373" w:space="1" w:sz="4" w:val="single"/>
        </w:pBdr>
        <w:spacing w:after="160" w:before="240" w:line="240" w:lineRule="auto"/>
        <w:jc w:val="both"/>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2A">
      <w:pPr>
        <w:keepLines w:val="0"/>
        <w:widowControl w:val="1"/>
        <w:numPr>
          <w:ilvl w:val="0"/>
          <w:numId w:val="1"/>
        </w:numPr>
        <w:spacing w:after="0" w:line="240" w:lineRule="auto"/>
        <w:ind w:left="720" w:hanging="360"/>
        <w:jc w:val="both"/>
        <w:rPr>
          <w:sz w:val="16"/>
          <w:szCs w:val="16"/>
        </w:rPr>
      </w:pPr>
      <w:r w:rsidDel="00000000" w:rsidR="00000000" w:rsidRPr="00000000">
        <w:rPr>
          <w:color w:val="404040"/>
          <w:rtl w:val="0"/>
        </w:rPr>
        <w:t xml:space="preserve">There are many regular and ongoing resources, including mappings, and linking humanitarian cash and social protection, which can be found </w:t>
      </w:r>
      <w:hyperlink r:id="rId35">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2B">
      <w:pPr>
        <w:pBdr>
          <w:bottom w:color="737373" w:space="1" w:sz="4" w:val="single"/>
        </w:pBdr>
        <w:spacing w:after="160" w:befor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2C">
      <w:pPr>
        <w:numPr>
          <w:ilvl w:val="0"/>
          <w:numId w:val="4"/>
        </w:numPr>
        <w:spacing w:after="0" w:lineRule="auto"/>
        <w:ind w:left="720" w:hanging="360"/>
        <w:jc w:val="both"/>
        <w:rPr>
          <w:sz w:val="16"/>
          <w:szCs w:val="16"/>
        </w:rPr>
      </w:pPr>
      <w:r w:rsidDel="00000000" w:rsidR="00000000" w:rsidRPr="00000000">
        <w:rPr>
          <w:color w:val="404040"/>
          <w:rtl w:val="0"/>
        </w:rPr>
        <w:t xml:space="preserve">Session recording of Market-based Programming Webinar can be found </w:t>
      </w:r>
      <w:hyperlink r:id="rId36">
        <w:r w:rsidDel="00000000" w:rsidR="00000000" w:rsidRPr="00000000">
          <w:rPr>
            <w:color w:val="418fde"/>
            <w:rtl w:val="0"/>
          </w:rPr>
          <w:t xml:space="preserve">here</w:t>
        </w:r>
      </w:hyperlink>
      <w:r w:rsidDel="00000000" w:rsidR="00000000" w:rsidRPr="00000000">
        <w:rPr>
          <w:sz w:val="16"/>
          <w:szCs w:val="16"/>
          <w:rtl w:val="0"/>
        </w:rPr>
        <w:t xml:space="preserve">. </w:t>
      </w:r>
      <w:r w:rsidDel="00000000" w:rsidR="00000000" w:rsidRPr="00000000">
        <w:rPr>
          <w:color w:val="404040"/>
          <w:rtl w:val="0"/>
        </w:rPr>
        <w:t xml:space="preserve">The links to the key documents of Market-based Programming Webinar are as follows:</w:t>
      </w:r>
      <w:r w:rsidDel="00000000" w:rsidR="00000000" w:rsidRPr="00000000">
        <w:rPr>
          <w:rtl w:val="0"/>
        </w:rPr>
      </w:r>
    </w:p>
    <w:p w:rsidR="00000000" w:rsidDel="00000000" w:rsidP="00000000" w:rsidRDefault="00000000" w:rsidRPr="00000000" w14:paraId="0000002D">
      <w:pPr>
        <w:numPr>
          <w:ilvl w:val="1"/>
          <w:numId w:val="4"/>
        </w:numPr>
        <w:spacing w:after="0" w:lineRule="auto"/>
        <w:ind w:left="1440" w:hanging="360"/>
        <w:jc w:val="both"/>
        <w:rPr>
          <w:sz w:val="16"/>
          <w:szCs w:val="16"/>
        </w:rPr>
      </w:pPr>
      <w:hyperlink r:id="rId37">
        <w:r w:rsidDel="00000000" w:rsidR="00000000" w:rsidRPr="00000000">
          <w:rPr>
            <w:color w:val="418fde"/>
            <w:rtl w:val="0"/>
          </w:rPr>
          <w:t xml:space="preserve">Evidence building for cash and markets for WASH in emergencies</w:t>
        </w:r>
      </w:hyperlink>
      <w:r w:rsidDel="00000000" w:rsidR="00000000" w:rsidRPr="00000000">
        <w:rPr>
          <w:color w:val="404040"/>
          <w:rtl w:val="0"/>
        </w:rPr>
        <w:t xml:space="preserve">, as well as a Summary of Findings in</w:t>
      </w:r>
      <w:hyperlink r:id="rId38">
        <w:r w:rsidDel="00000000" w:rsidR="00000000" w:rsidRPr="00000000">
          <w:rPr>
            <w:color w:val="404040"/>
            <w:rtl w:val="0"/>
          </w:rPr>
          <w:t xml:space="preserve"> </w:t>
        </w:r>
      </w:hyperlink>
      <w:hyperlink r:id="rId39">
        <w:r w:rsidDel="00000000" w:rsidR="00000000" w:rsidRPr="00000000">
          <w:rPr>
            <w:color w:val="418fde"/>
            <w:rtl w:val="0"/>
          </w:rPr>
          <w:t xml:space="preserve">English</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numPr>
          <w:ilvl w:val="1"/>
          <w:numId w:val="4"/>
        </w:numPr>
        <w:spacing w:after="0" w:lineRule="auto"/>
        <w:ind w:left="1440" w:hanging="360"/>
        <w:jc w:val="both"/>
        <w:rPr>
          <w:sz w:val="16"/>
          <w:szCs w:val="16"/>
        </w:rPr>
      </w:pPr>
      <w:hyperlink r:id="rId40">
        <w:r w:rsidDel="00000000" w:rsidR="00000000" w:rsidRPr="00000000">
          <w:rPr>
            <w:color w:val="418fde"/>
            <w:rtl w:val="0"/>
          </w:rPr>
          <w:t xml:space="preserve">Market-Based Programming in WASH: Technical Guidance for Practitioners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numPr>
          <w:ilvl w:val="1"/>
          <w:numId w:val="4"/>
        </w:numPr>
        <w:spacing w:after="0" w:lineRule="auto"/>
        <w:ind w:left="1440" w:hanging="360"/>
        <w:jc w:val="both"/>
        <w:rPr>
          <w:sz w:val="16"/>
          <w:szCs w:val="16"/>
        </w:rPr>
      </w:pPr>
      <w:hyperlink r:id="rId41">
        <w:r w:rsidDel="00000000" w:rsidR="00000000" w:rsidRPr="00000000">
          <w:rPr>
            <w:color w:val="418fde"/>
            <w:rtl w:val="0"/>
          </w:rPr>
          <w:t xml:space="preserve">Tip sheet on integrating cash and markets in HNOs and HRPs</w:t>
        </w:r>
      </w:hyperlink>
      <w:r w:rsidDel="00000000" w:rsidR="00000000" w:rsidRPr="00000000">
        <w:rPr>
          <w:color w:val="418fde"/>
          <w:rtl w:val="0"/>
        </w:rPr>
        <w:t xml:space="preserve">. </w:t>
      </w:r>
      <w:hyperlink r:id="rId42">
        <w:r w:rsidDel="00000000" w:rsidR="00000000" w:rsidRPr="00000000">
          <w:rPr>
            <w:color w:val="418fde"/>
            <w:rtl w:val="0"/>
          </w:rPr>
          <w:t xml:space="preserve">Market-Based Programming WASH Database</w:t>
        </w:r>
      </w:hyperlink>
      <w:r w:rsidDel="00000000" w:rsidR="00000000" w:rsidRPr="00000000">
        <w:rPr>
          <w:color w:val="404040"/>
          <w:rtl w:val="0"/>
        </w:rPr>
        <w:t xml:space="preserve"> and an</w:t>
      </w:r>
      <w:hyperlink r:id="rId43">
        <w:r w:rsidDel="00000000" w:rsidR="00000000" w:rsidRPr="00000000">
          <w:rPr>
            <w:color w:val="404040"/>
            <w:rtl w:val="0"/>
          </w:rPr>
          <w:t xml:space="preserve"> </w:t>
        </w:r>
      </w:hyperlink>
      <w:hyperlink r:id="rId44">
        <w:r w:rsidDel="00000000" w:rsidR="00000000" w:rsidRPr="00000000">
          <w:rPr>
            <w:color w:val="418fde"/>
            <w:rtl w:val="0"/>
          </w:rPr>
          <w:t xml:space="preserve">overview</w:t>
        </w:r>
      </w:hyperlink>
      <w:r w:rsidDel="00000000" w:rsidR="00000000" w:rsidRPr="00000000">
        <w:rPr>
          <w:color w:val="404040"/>
          <w:rtl w:val="0"/>
        </w:rPr>
        <w:t xml:space="preserve"> of this database. </w:t>
      </w:r>
      <w:r w:rsidDel="00000000" w:rsidR="00000000" w:rsidRPr="00000000">
        <w:rPr>
          <w:rtl w:val="0"/>
        </w:rPr>
      </w:r>
    </w:p>
    <w:p w:rsidR="00000000" w:rsidDel="00000000" w:rsidP="00000000" w:rsidRDefault="00000000" w:rsidRPr="00000000" w14:paraId="00000030">
      <w:pPr>
        <w:numPr>
          <w:ilvl w:val="1"/>
          <w:numId w:val="4"/>
        </w:numPr>
        <w:spacing w:after="0" w:lineRule="auto"/>
        <w:ind w:left="1440" w:hanging="360"/>
        <w:jc w:val="both"/>
        <w:rPr>
          <w:sz w:val="16"/>
          <w:szCs w:val="16"/>
        </w:rPr>
      </w:pPr>
      <w:r w:rsidDel="00000000" w:rsidR="00000000" w:rsidRPr="00000000">
        <w:rPr>
          <w:color w:val="404040"/>
          <w:rtl w:val="0"/>
        </w:rPr>
        <w:t xml:space="preserve">Webinar GWC/PRO-WASH/CaLP:</w:t>
      </w:r>
      <w:hyperlink r:id="rId45">
        <w:r w:rsidDel="00000000" w:rsidR="00000000" w:rsidRPr="00000000">
          <w:rPr>
            <w:color w:val="418fde"/>
            <w:rtl w:val="0"/>
          </w:rPr>
          <w:t xml:space="preserve"> Introduction to Market Based Programming in Emergency WASH</w:t>
        </w:r>
      </w:hyperlink>
      <w:r w:rsidDel="00000000" w:rsidR="00000000" w:rsidRPr="00000000">
        <w:rPr>
          <w:rtl w:val="0"/>
        </w:rPr>
      </w:r>
    </w:p>
    <w:p w:rsidR="00000000" w:rsidDel="00000000" w:rsidP="00000000" w:rsidRDefault="00000000" w:rsidRPr="00000000" w14:paraId="00000031">
      <w:pPr>
        <w:numPr>
          <w:ilvl w:val="0"/>
          <w:numId w:val="4"/>
        </w:numPr>
        <w:spacing w:after="0" w:lineRule="auto"/>
        <w:ind w:left="720" w:hanging="360"/>
        <w:jc w:val="both"/>
        <w:rPr/>
      </w:pPr>
      <w:r w:rsidDel="00000000" w:rsidR="00000000" w:rsidRPr="00000000">
        <w:rPr>
          <w:color w:val="404040"/>
          <w:rtl w:val="0"/>
        </w:rPr>
        <w:t xml:space="preserve">The Redcross CashHub held a webinar on </w:t>
      </w:r>
      <w:r w:rsidDel="00000000" w:rsidR="00000000" w:rsidRPr="00000000">
        <w:rPr>
          <w:i w:val="1"/>
          <w:color w:val="404040"/>
          <w:rtl w:val="0"/>
        </w:rPr>
        <w:t xml:space="preserve">Group Cash Transfers for Community Resilience</w:t>
      </w:r>
      <w:r w:rsidDel="00000000" w:rsidR="00000000" w:rsidRPr="00000000">
        <w:rPr>
          <w:color w:val="404040"/>
          <w:rtl w:val="0"/>
        </w:rPr>
        <w:t xml:space="preserve"> on October 27, 2021. The following resources were shared as part of that webinar:</w:t>
      </w:r>
      <w:r w:rsidDel="00000000" w:rsidR="00000000" w:rsidRPr="00000000">
        <w:rPr>
          <w:rtl w:val="0"/>
        </w:rPr>
      </w:r>
    </w:p>
    <w:p w:rsidR="00000000" w:rsidDel="00000000" w:rsidP="00000000" w:rsidRDefault="00000000" w:rsidRPr="00000000" w14:paraId="00000032">
      <w:pPr>
        <w:numPr>
          <w:ilvl w:val="1"/>
          <w:numId w:val="4"/>
        </w:numPr>
        <w:spacing w:after="0" w:lineRule="auto"/>
        <w:ind w:left="1440" w:hanging="360"/>
        <w:jc w:val="both"/>
        <w:rPr>
          <w:rFonts w:ascii="Arial" w:cs="Arial" w:eastAsia="Arial" w:hAnsi="Arial"/>
        </w:rPr>
      </w:pPr>
      <w:r w:rsidDel="00000000" w:rsidR="00000000" w:rsidRPr="00000000">
        <w:rPr>
          <w:color w:val="404040"/>
          <w:rtl w:val="0"/>
        </w:rPr>
        <w:t xml:space="preserve">The Webinar </w:t>
      </w:r>
      <w:hyperlink r:id="rId46">
        <w:r w:rsidDel="00000000" w:rsidR="00000000" w:rsidRPr="00000000">
          <w:rPr>
            <w:color w:val="418fde"/>
            <w:rtl w:val="0"/>
          </w:rPr>
          <w:t xml:space="preserve">recording</w:t>
        </w:r>
      </w:hyperlink>
      <w:r w:rsidDel="00000000" w:rsidR="00000000" w:rsidRPr="00000000">
        <w:rPr>
          <w:rtl w:val="0"/>
        </w:rPr>
      </w:r>
    </w:p>
    <w:p w:rsidR="00000000" w:rsidDel="00000000" w:rsidP="00000000" w:rsidRDefault="00000000" w:rsidRPr="00000000" w14:paraId="00000033">
      <w:pPr>
        <w:numPr>
          <w:ilvl w:val="1"/>
          <w:numId w:val="4"/>
        </w:numPr>
        <w:spacing w:after="0" w:lineRule="auto"/>
        <w:ind w:left="1440" w:hanging="360"/>
        <w:jc w:val="both"/>
        <w:rPr>
          <w:rFonts w:ascii="Arial" w:cs="Arial" w:eastAsia="Arial" w:hAnsi="Arial"/>
        </w:rPr>
      </w:pPr>
      <w:r w:rsidDel="00000000" w:rsidR="00000000" w:rsidRPr="00000000">
        <w:rPr>
          <w:color w:val="404040"/>
          <w:rtl w:val="0"/>
        </w:rPr>
        <w:t xml:space="preserve">The Webinar</w:t>
      </w:r>
      <w:r w:rsidDel="00000000" w:rsidR="00000000" w:rsidRPr="00000000">
        <w:rPr>
          <w:color w:val="418fde"/>
          <w:rtl w:val="0"/>
        </w:rPr>
        <w:t xml:space="preserve"> </w:t>
      </w:r>
      <w:hyperlink r:id="rId47">
        <w:r w:rsidDel="00000000" w:rsidR="00000000" w:rsidRPr="00000000">
          <w:rPr>
            <w:color w:val="418fde"/>
            <w:rtl w:val="0"/>
          </w:rPr>
          <w:t xml:space="preserve">slides</w:t>
        </w:r>
      </w:hyperlink>
      <w:r w:rsidDel="00000000" w:rsidR="00000000" w:rsidRPr="00000000">
        <w:rPr>
          <w:rtl w:val="0"/>
        </w:rPr>
      </w:r>
    </w:p>
    <w:p w:rsidR="00000000" w:rsidDel="00000000" w:rsidP="00000000" w:rsidRDefault="00000000" w:rsidRPr="00000000" w14:paraId="00000034">
      <w:pPr>
        <w:numPr>
          <w:ilvl w:val="1"/>
          <w:numId w:val="4"/>
        </w:numPr>
        <w:spacing w:after="0" w:lineRule="auto"/>
        <w:ind w:left="1440" w:hanging="360"/>
        <w:jc w:val="both"/>
        <w:rPr/>
      </w:pPr>
      <w:r w:rsidDel="00000000" w:rsidR="00000000" w:rsidRPr="00000000">
        <w:rPr>
          <w:color w:val="404040"/>
          <w:rtl w:val="0"/>
        </w:rPr>
        <w:t xml:space="preserve">Additional content not shown at the Webinar due to internet issues</w:t>
      </w:r>
      <w:r w:rsidDel="00000000" w:rsidR="00000000" w:rsidRPr="00000000">
        <w:rPr>
          <w:i w:val="1"/>
          <w:color w:val="404040"/>
          <w:rtl w:val="0"/>
        </w:rPr>
        <w:t xml:space="preserve"> </w:t>
      </w:r>
      <w:r w:rsidDel="00000000" w:rsidR="00000000" w:rsidRPr="00000000">
        <w:rPr>
          <w:i w:val="1"/>
          <w:color w:val="4472c4"/>
          <w:rtl w:val="0"/>
        </w:rPr>
        <w:t xml:space="preserve">- </w:t>
      </w:r>
      <w:hyperlink r:id="rId48">
        <w:r w:rsidDel="00000000" w:rsidR="00000000" w:rsidRPr="00000000">
          <w:rPr>
            <w:color w:val="418fde"/>
            <w:rtl w:val="0"/>
          </w:rPr>
          <w:t xml:space="preserve">Watch this 20 minute recording</w:t>
        </w:r>
      </w:hyperlink>
      <w:r w:rsidDel="00000000" w:rsidR="00000000" w:rsidRPr="00000000">
        <w:rPr>
          <w:color w:val="404040"/>
          <w:rtl w:val="0"/>
        </w:rPr>
        <w:t xml:space="preserve"> of the presentation on Uganda Red Cross supporting Village Savings and Loans Association by Martha Imamut (Project Office – Response and Migration URCS)</w:t>
      </w:r>
      <w:r w:rsidDel="00000000" w:rsidR="00000000" w:rsidRPr="00000000">
        <w:rPr>
          <w:rtl w:val="0"/>
        </w:rPr>
      </w:r>
    </w:p>
    <w:p w:rsidR="00000000" w:rsidDel="00000000" w:rsidP="00000000" w:rsidRDefault="00000000" w:rsidRPr="00000000" w14:paraId="00000035">
      <w:pPr>
        <w:numPr>
          <w:ilvl w:val="1"/>
          <w:numId w:val="4"/>
        </w:numPr>
        <w:spacing w:after="0" w:lineRule="auto"/>
        <w:ind w:left="1440" w:hanging="360"/>
        <w:jc w:val="both"/>
        <w:rPr>
          <w:rFonts w:ascii="Arial" w:cs="Arial" w:eastAsia="Arial" w:hAnsi="Arial"/>
        </w:rPr>
      </w:pPr>
      <w:r w:rsidDel="00000000" w:rsidR="00000000" w:rsidRPr="00000000">
        <w:rPr>
          <w:color w:val="404040"/>
          <w:rtl w:val="0"/>
        </w:rPr>
        <w:t xml:space="preserve">The </w:t>
      </w:r>
      <w:hyperlink r:id="rId49">
        <w:r w:rsidDel="00000000" w:rsidR="00000000" w:rsidRPr="00000000">
          <w:rPr>
            <w:color w:val="418fde"/>
            <w:rtl w:val="0"/>
          </w:rPr>
          <w:t xml:space="preserve">DCA/CaLP/KeyAid Guidelines for Group Cash Transfers</w:t>
        </w:r>
      </w:hyperlink>
      <w:r w:rsidDel="00000000" w:rsidR="00000000" w:rsidRPr="00000000">
        <w:rPr>
          <w:color w:val="404040"/>
          <w:rtl w:val="0"/>
        </w:rPr>
        <w:t xml:space="preserve"> </w:t>
      </w:r>
      <w:r w:rsidDel="00000000" w:rsidR="00000000" w:rsidRPr="00000000">
        <w:rPr>
          <w:rtl w:val="0"/>
        </w:rPr>
      </w:r>
    </w:p>
    <w:p w:rsidR="00000000" w:rsidDel="00000000" w:rsidP="00000000" w:rsidRDefault="00000000" w:rsidRPr="00000000" w14:paraId="00000036">
      <w:pPr>
        <w:numPr>
          <w:ilvl w:val="1"/>
          <w:numId w:val="4"/>
        </w:numPr>
        <w:spacing w:after="0" w:lineRule="auto"/>
        <w:ind w:left="1440" w:hanging="360"/>
        <w:jc w:val="both"/>
        <w:rPr/>
      </w:pPr>
      <w:r w:rsidDel="00000000" w:rsidR="00000000" w:rsidRPr="00000000">
        <w:rPr>
          <w:color w:val="404040"/>
          <w:rtl w:val="0"/>
        </w:rPr>
        <w:t xml:space="preserve">The IFRC </w:t>
      </w:r>
      <w:hyperlink r:id="rId50">
        <w:r w:rsidDel="00000000" w:rsidR="00000000" w:rsidRPr="00000000">
          <w:rPr>
            <w:color w:val="418fde"/>
            <w:rtl w:val="0"/>
          </w:rPr>
          <w:t xml:space="preserve">Framework for Community Resilience</w:t>
        </w:r>
      </w:hyperlink>
      <w:r w:rsidDel="00000000" w:rsidR="00000000" w:rsidRPr="00000000">
        <w:rPr>
          <w:color w:val="404040"/>
          <w:rtl w:val="0"/>
        </w:rPr>
        <w:t xml:space="preserve"> and the </w:t>
      </w:r>
      <w:hyperlink r:id="rId51">
        <w:r w:rsidDel="00000000" w:rsidR="00000000" w:rsidRPr="00000000">
          <w:rPr>
            <w:color w:val="418fde"/>
            <w:rtl w:val="0"/>
          </w:rPr>
          <w:t xml:space="preserve">Road Map for Community Resilience</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Date</w:t>
            </w:r>
          </w:p>
        </w:tc>
        <w:tc>
          <w:tcPr>
            <w:tcBorders>
              <w:bottom w:color="b7b7b7" w:space="0" w:sz="4" w:val="single"/>
            </w:tcBorders>
          </w:tcPr>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Activity</w:t>
            </w:r>
          </w:p>
        </w:tc>
        <w:tc>
          <w:tcPr>
            <w:tcBorders>
              <w:bottom w:color="b7b7b7" w:space="0" w:sz="4" w:val="single"/>
            </w:tcBorders>
          </w:tcPr>
          <w:p w:rsidR="00000000" w:rsidDel="00000000" w:rsidP="00000000" w:rsidRDefault="00000000" w:rsidRPr="00000000" w14:paraId="0000003A">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B">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17 January (4-week course)</w:t>
            </w:r>
          </w:p>
          <w:p w:rsidR="00000000" w:rsidDel="00000000" w:rsidP="00000000" w:rsidRDefault="00000000" w:rsidRPr="00000000" w14:paraId="0000003C">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D">
            <w:pPr>
              <w:keepLines w:val="0"/>
              <w:widowControl w:val="1"/>
              <w:pBdr>
                <w:top w:space="0" w:sz="0" w:val="nil"/>
                <w:left w:space="0" w:sz="0" w:val="nil"/>
                <w:bottom w:space="0" w:sz="0" w:val="nil"/>
                <w:right w:space="0" w:sz="0" w:val="nil"/>
                <w:between w:space="0" w:sz="0" w:val="nil"/>
              </w:pBdr>
              <w:spacing w:after="0" w:line="240" w:lineRule="auto"/>
              <w:jc w:val="both"/>
              <w:rPr>
                <w:color w:val="418fde"/>
              </w:rPr>
            </w:pPr>
            <w:r w:rsidDel="00000000" w:rsidR="00000000" w:rsidRPr="00000000">
              <w:rPr>
                <w:rtl w:val="0"/>
              </w:rPr>
              <w:t xml:space="preserve">Market Based Programming for WASH in Emergencies Distance Learning Course. Participants must commit to dedicate 2 to 3 hours, 5 days a week, for the whole duration of the training. </w:t>
            </w:r>
            <w:r w:rsidDel="00000000" w:rsidR="00000000" w:rsidRPr="00000000">
              <w:rPr>
                <w:color w:val="201f1e"/>
                <w:highlight w:val="white"/>
                <w:rtl w:val="0"/>
              </w:rPr>
              <w:t xml:space="preserve">The course will be delivered in English.</w:t>
            </w:r>
            <w:r w:rsidDel="00000000" w:rsidR="00000000" w:rsidRPr="00000000">
              <w:rPr>
                <w:rtl w:val="0"/>
              </w:rPr>
              <w:t xml:space="preserve"> Interested agencies and individuals can reach out to</w:t>
            </w:r>
            <w:r w:rsidDel="00000000" w:rsidR="00000000" w:rsidRPr="00000000">
              <w:rPr>
                <w:color w:val="418fde"/>
                <w:rtl w:val="0"/>
              </w:rPr>
              <w:t xml:space="preserve"> </w:t>
            </w:r>
            <w:hyperlink r:id="rId52">
              <w:r w:rsidDel="00000000" w:rsidR="00000000" w:rsidRPr="00000000">
                <w:rPr>
                  <w:color w:val="418fde"/>
                  <w:rtl w:val="0"/>
                </w:rPr>
                <w:t xml:space="preserve">jbara@unicef.org</w:t>
              </w:r>
            </w:hyperlink>
            <w:r w:rsidDel="00000000" w:rsidR="00000000" w:rsidRPr="00000000">
              <w:rPr>
                <w:color w:val="418fde"/>
                <w:rtl w:val="0"/>
              </w:rPr>
              <w:t xml:space="preserve"> </w:t>
            </w:r>
          </w:p>
          <w:p w:rsidR="00000000" w:rsidDel="00000000" w:rsidP="00000000" w:rsidRDefault="00000000" w:rsidRPr="00000000" w14:paraId="0000003E">
            <w:pPr>
              <w:keepLines w:val="0"/>
              <w:widowControl w:val="1"/>
              <w:pBdr>
                <w:top w:space="0" w:sz="0" w:val="nil"/>
                <w:left w:space="0" w:sz="0" w:val="nil"/>
                <w:bottom w:space="0" w:sz="0" w:val="nil"/>
                <w:right w:space="0" w:sz="0" w:val="nil"/>
                <w:between w:space="0" w:sz="0" w:val="nil"/>
              </w:pBdr>
              <w:spacing w:after="0" w:line="240" w:lineRule="auto"/>
              <w:jc w:val="both"/>
              <w:rPr>
                <w:color w:val="418fde"/>
              </w:rPr>
            </w:pPr>
            <w:hyperlink r:id="rId53">
              <w:r w:rsidDel="00000000" w:rsidR="00000000" w:rsidRPr="00000000">
                <w:rPr>
                  <w:color w:val="418fde"/>
                  <w:rtl w:val="0"/>
                </w:rPr>
                <w:t xml:space="preserve">p.sinibaldi@savethechildren.org.uk</w:t>
              </w:r>
            </w:hyperlink>
            <w:r w:rsidDel="00000000" w:rsidR="00000000" w:rsidRPr="00000000">
              <w:rPr>
                <w:rtl w:val="0"/>
              </w:rPr>
              <w:t xml:space="preserve"> </w:t>
            </w:r>
            <w:hyperlink r:id="rId54">
              <w:r w:rsidDel="00000000" w:rsidR="00000000" w:rsidRPr="00000000">
                <w:rPr>
                  <w:color w:val="418fde"/>
                  <w:rtl w:val="0"/>
                </w:rPr>
                <w:t xml:space="preserve">janet.nyaoro@savethechildren.org</w:t>
              </w:r>
            </w:hyperlink>
            <w:r w:rsidDel="00000000" w:rsidR="00000000" w:rsidRPr="00000000">
              <w:rPr>
                <w:rtl w:val="0"/>
              </w:rPr>
            </w:r>
          </w:p>
          <w:p w:rsidR="00000000" w:rsidDel="00000000" w:rsidP="00000000" w:rsidRDefault="00000000" w:rsidRPr="00000000" w14:paraId="0000003F">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40">
            <w:pPr>
              <w:keepLines w:val="0"/>
              <w:widowControl w:val="1"/>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The course has been developed by Global WASH cluster and its members, under the leadership of </w:t>
            </w:r>
          </w:p>
          <w:p w:rsidR="00000000" w:rsidDel="00000000" w:rsidP="00000000" w:rsidRDefault="00000000" w:rsidRPr="00000000" w14:paraId="00000041">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highlight w:val="white"/>
                <w:rtl w:val="0"/>
              </w:rPr>
              <w:t xml:space="preserve">UNICEF, Save the Children and the Humanitarian Leadership Academy (HLA).</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42">
            <w:pPr>
              <w:spacing w:after="0" w:lineRule="auto"/>
              <w:jc w:val="both"/>
              <w:rPr>
                <w:color w:val="393939"/>
              </w:rPr>
            </w:pPr>
            <w:r w:rsidDel="00000000" w:rsidR="00000000" w:rsidRPr="00000000">
              <w:rPr>
                <w:color w:val="393939"/>
                <w:rtl w:val="0"/>
              </w:rPr>
              <w:t xml:space="preserve">8 December </w:t>
            </w:r>
          </w:p>
          <w:p w:rsidR="00000000" w:rsidDel="00000000" w:rsidP="00000000" w:rsidRDefault="00000000" w:rsidRPr="00000000" w14:paraId="00000043">
            <w:pPr>
              <w:spacing w:after="0" w:lineRule="auto"/>
              <w:jc w:val="both"/>
              <w:rPr>
                <w:color w:val="393939"/>
              </w:rPr>
            </w:pPr>
            <w:r w:rsidDel="00000000" w:rsidR="00000000" w:rsidRPr="00000000">
              <w:rPr>
                <w:color w:val="393939"/>
                <w:rtl w:val="0"/>
              </w:rPr>
              <w:t xml:space="preserve">(Wednesday)</w:t>
            </w:r>
          </w:p>
        </w:tc>
        <w:tc>
          <w:tcPr/>
          <w:p w:rsidR="00000000" w:rsidDel="00000000" w:rsidP="00000000" w:rsidRDefault="00000000" w:rsidRPr="00000000" w14:paraId="00000044">
            <w:pPr>
              <w:spacing w:after="0" w:lineRule="auto"/>
              <w:jc w:val="both"/>
              <w:rPr>
                <w:color w:val="323130"/>
                <w:highlight w:val="white"/>
              </w:rPr>
            </w:pPr>
            <w:r w:rsidDel="00000000" w:rsidR="00000000" w:rsidRPr="00000000">
              <w:rPr>
                <w:color w:val="323130"/>
                <w:highlight w:val="white"/>
                <w:rtl w:val="0"/>
              </w:rPr>
              <w:t xml:space="preserve">Two National Societies will present their experience and learning from responding to COVID-19 with Cash and Voucher Assistance (CVA)</w:t>
            </w:r>
          </w:p>
          <w:p w:rsidR="00000000" w:rsidDel="00000000" w:rsidP="00000000" w:rsidRDefault="00000000" w:rsidRPr="00000000" w14:paraId="00000045">
            <w:pPr>
              <w:spacing w:after="0" w:lineRule="auto"/>
              <w:jc w:val="both"/>
              <w:rPr>
                <w:color w:val="323130"/>
                <w:highlight w:val="white"/>
              </w:rPr>
            </w:pPr>
            <w:hyperlink r:id="rId55">
              <w:r w:rsidDel="00000000" w:rsidR="00000000" w:rsidRPr="00000000">
                <w:rPr>
                  <w:color w:val="1155cc"/>
                  <w:sz w:val="21"/>
                  <w:szCs w:val="21"/>
                  <w:highlight w:val="white"/>
                  <w:u w:val="single"/>
                  <w:rtl w:val="0"/>
                </w:rPr>
                <w:t xml:space="preserve">Click here to join the meeting</w:t>
              </w:r>
            </w:hyperlink>
            <w:r w:rsidDel="00000000" w:rsidR="00000000" w:rsidRPr="00000000">
              <w:rPr>
                <w:rtl w:val="0"/>
              </w:rPr>
            </w:r>
          </w:p>
        </w:tc>
        <w:tc>
          <w:tcPr/>
          <w:p w:rsidR="00000000" w:rsidDel="00000000" w:rsidP="00000000" w:rsidRDefault="00000000" w:rsidRPr="00000000" w14:paraId="00000046">
            <w:pPr>
              <w:spacing w:after="0" w:lineRule="auto"/>
              <w:jc w:val="both"/>
              <w:rPr>
                <w:color w:val="393939"/>
              </w:rPr>
            </w:pPr>
            <w:r w:rsidDel="00000000" w:rsidR="00000000" w:rsidRPr="00000000">
              <w:rPr>
                <w:color w:val="393939"/>
                <w:rtl w:val="0"/>
              </w:rPr>
              <w:t xml:space="preserve">Rwanda Red Cross and Tanzania Red Cross</w:t>
            </w:r>
          </w:p>
        </w:tc>
      </w:tr>
      <w:tr>
        <w:trPr>
          <w:cantSplit w:val="0"/>
          <w:trHeight w:val="329" w:hRule="atLeast"/>
          <w:tblHeader w:val="0"/>
        </w:trPr>
        <w:tc>
          <w:tcPr/>
          <w:p w:rsidR="00000000" w:rsidDel="00000000" w:rsidP="00000000" w:rsidRDefault="00000000" w:rsidRPr="00000000" w14:paraId="00000047">
            <w:pPr>
              <w:spacing w:after="0" w:lineRule="auto"/>
              <w:jc w:val="both"/>
              <w:rPr>
                <w:color w:val="393939"/>
              </w:rPr>
            </w:pPr>
            <w:r w:rsidDel="00000000" w:rsidR="00000000" w:rsidRPr="00000000">
              <w:rPr>
                <w:color w:val="393939"/>
                <w:rtl w:val="0"/>
              </w:rPr>
              <w:t xml:space="preserve">Online self-directed learning</w:t>
            </w:r>
          </w:p>
        </w:tc>
        <w:tc>
          <w:tcPr/>
          <w:p w:rsidR="00000000" w:rsidDel="00000000" w:rsidP="00000000" w:rsidRDefault="00000000" w:rsidRPr="00000000" w14:paraId="00000048">
            <w:pPr>
              <w:spacing w:after="0" w:lineRule="auto"/>
              <w:jc w:val="both"/>
              <w:rPr>
                <w:color w:val="393939"/>
              </w:rPr>
            </w:pPr>
            <w:r w:rsidDel="00000000" w:rsidR="00000000" w:rsidRPr="00000000">
              <w:rPr>
                <w:color w:val="393939"/>
                <w:rtl w:val="0"/>
              </w:rPr>
              <w:t xml:space="preserve">Core CVA skills for program staff course, Free 12 weeks online self-directed course </w:t>
            </w:r>
          </w:p>
          <w:p w:rsidR="00000000" w:rsidDel="00000000" w:rsidP="00000000" w:rsidRDefault="00000000" w:rsidRPr="00000000" w14:paraId="00000049">
            <w:pPr>
              <w:spacing w:after="0" w:lineRule="auto"/>
              <w:jc w:val="both"/>
              <w:rPr>
                <w:color w:val="525252"/>
                <w:highlight w:val="white"/>
              </w:rPr>
            </w:pPr>
            <w:r w:rsidDel="00000000" w:rsidR="00000000" w:rsidRPr="00000000">
              <w:rPr>
                <w:color w:val="393939"/>
                <w:rtl w:val="0"/>
              </w:rPr>
              <w:t xml:space="preserve">(</w:t>
            </w:r>
            <w:hyperlink r:id="rId56">
              <w:r w:rsidDel="00000000" w:rsidR="00000000" w:rsidRPr="00000000">
                <w:rPr>
                  <w:color w:val="418fde"/>
                  <w:rtl w:val="0"/>
                </w:rPr>
                <w:t xml:space="preserve">Visit here</w:t>
              </w:r>
            </w:hyperlink>
            <w:r w:rsidDel="00000000" w:rsidR="00000000" w:rsidRPr="00000000">
              <w:rPr>
                <w:color w:val="3f3f3f"/>
                <w:rtl w:val="0"/>
              </w:rPr>
              <w:t xml:space="preserve">)</w:t>
            </w:r>
            <w:r w:rsidDel="00000000" w:rsidR="00000000" w:rsidRPr="00000000">
              <w:rPr>
                <w:rtl w:val="0"/>
              </w:rPr>
            </w:r>
          </w:p>
        </w:tc>
        <w:tc>
          <w:tcPr/>
          <w:p w:rsidR="00000000" w:rsidDel="00000000" w:rsidP="00000000" w:rsidRDefault="00000000" w:rsidRPr="00000000" w14:paraId="0000004A">
            <w:pPr>
              <w:spacing w:after="0" w:lineRule="auto"/>
              <w:jc w:val="both"/>
              <w:rPr>
                <w:color w:val="393939"/>
              </w:rPr>
            </w:pPr>
            <w:r w:rsidDel="00000000" w:rsidR="00000000" w:rsidRPr="00000000">
              <w:rPr>
                <w:color w:val="393939"/>
                <w:rtl w:val="0"/>
              </w:rPr>
              <w:t xml:space="preserve">CaLP</w:t>
            </w:r>
          </w:p>
        </w:tc>
      </w:tr>
    </w:tbl>
    <w:p w:rsidR="00000000" w:rsidDel="00000000" w:rsidP="00000000" w:rsidRDefault="00000000" w:rsidRPr="00000000" w14:paraId="0000004B">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C">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mc:AlternateContent>
          <mc:Choice Requires="wpg">
            <w:drawing>
              <wp:inline distB="114300" distT="114300" distL="114300" distR="114300">
                <wp:extent cx="6877050" cy="1188027"/>
                <wp:effectExtent b="0" l="0" r="0" t="0"/>
                <wp:docPr id="83" name=""/>
                <a:graphic>
                  <a:graphicData uri="http://schemas.microsoft.com/office/word/2010/wordprocessingShape">
                    <wps:wsp>
                      <wps:cNvSpPr/>
                      <wps:cNvPr id="2" name="Shape 2"/>
                      <wps:spPr>
                        <a:xfrm>
                          <a:off x="2420250" y="3290850"/>
                          <a:ext cx="5851500" cy="9783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877050" cy="1188027"/>
                <wp:effectExtent b="0" l="0" r="0" t="0"/>
                <wp:docPr id="83" name="image1.png"/>
                <a:graphic>
                  <a:graphicData uri="http://schemas.openxmlformats.org/drawingml/2006/picture">
                    <pic:pic>
                      <pic:nvPicPr>
                        <pic:cNvPr id="0" name="image1.png"/>
                        <pic:cNvPicPr preferRelativeResize="0"/>
                      </pic:nvPicPr>
                      <pic:blipFill>
                        <a:blip r:embed="rId57"/>
                        <a:srcRect/>
                        <a:stretch>
                          <a:fillRect/>
                        </a:stretch>
                      </pic:blipFill>
                      <pic:spPr>
                        <a:xfrm>
                          <a:off x="0" y="0"/>
                          <a:ext cx="6877050" cy="1188027"/>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893885" cy="2105621"/>
                <wp:effectExtent b="0" l="0" r="0" t="0"/>
                <wp:wrapSquare wrapText="bothSides" distB="0" distT="0" distL="114300" distR="114300"/>
                <wp:docPr id="88" name=""/>
                <a:graphic>
                  <a:graphicData uri="http://schemas.microsoft.com/office/word/2010/wordprocessingShape">
                    <wps:wsp>
                      <wps:cNvSpPr/>
                      <wps:cNvPr id="22" name="Shape 22"/>
                      <wps:spPr>
                        <a:xfrm>
                          <a:off x="2110050" y="3113700"/>
                          <a:ext cx="6471900" cy="13326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p>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525252"/>
                                <w:sz w:val="20"/>
                                <w:shd w:fill="eef3fa"/>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shd w:fill="eef3fa"/>
                                <w:vertAlign w:val="baseline"/>
                              </w:rPr>
                            </w:r>
                            <w:r w:rsidDel="00000000" w:rsidR="00000000" w:rsidRPr="00000000">
                              <w:rPr>
                                <w:rFonts w:ascii="Arial" w:cs="Arial" w:eastAsia="Arial" w:hAnsi="Arial"/>
                                <w:b w:val="1"/>
                                <w:i w:val="0"/>
                                <w:smallCaps w:val="0"/>
                                <w:strike w:val="0"/>
                                <w:color w:val="4d4d4d"/>
                                <w:sz w:val="20"/>
                                <w:shd w:fill="eef3fa"/>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John Nelson, </w:t>
                            </w:r>
                            <w:r w:rsidDel="00000000" w:rsidR="00000000" w:rsidRPr="00000000">
                              <w:rPr>
                                <w:rFonts w:ascii="Arial" w:cs="Arial" w:eastAsia="Arial" w:hAnsi="Arial"/>
                                <w:b w:val="0"/>
                                <w:i w:val="0"/>
                                <w:smallCaps w:val="0"/>
                                <w:strike w:val="0"/>
                                <w:color w:val="555555"/>
                                <w:sz w:val="20"/>
                                <w:shd w:fill="eef3fa"/>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shd w:fill="eef3fa"/>
                                <w:vertAlign w:val="baseline"/>
                              </w:rPr>
                              <w:t xml:space="preserve">jnelson@mercycorps.org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Moh Moh Htet Kyaw, </w:t>
                            </w:r>
                            <w:r w:rsidDel="00000000" w:rsidR="00000000" w:rsidRPr="00000000">
                              <w:rPr>
                                <w:rFonts w:ascii="Arial" w:cs="Arial" w:eastAsia="Arial" w:hAnsi="Arial"/>
                                <w:b w:val="0"/>
                                <w:i w:val="0"/>
                                <w:smallCaps w:val="0"/>
                                <w:strike w:val="0"/>
                                <w:color w:val="555555"/>
                                <w:sz w:val="20"/>
                                <w:shd w:fill="eef3fa"/>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shd w:fill="eef3fa"/>
                                <w:vertAlign w:val="baseline"/>
                              </w:rPr>
                              <w:t xml:space="preserve">mokyaw@mercycorps.org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333333"/>
                                <w:sz w:val="20"/>
                                <w:shd w:fill="eef3fa"/>
                                <w:vertAlign w:val="baseline"/>
                              </w:rPr>
                              <w:t xml:space="preserve">Myo Thida Swe</w:t>
                            </w:r>
                            <w:r w:rsidDel="00000000" w:rsidR="00000000" w:rsidRPr="00000000">
                              <w:rPr>
                                <w:rFonts w:ascii="Arial" w:cs="Arial" w:eastAsia="Arial" w:hAnsi="Arial"/>
                                <w:b w:val="0"/>
                                <w:i w:val="0"/>
                                <w:smallCaps w:val="0"/>
                                <w:strike w:val="0"/>
                                <w:color w:val="333333"/>
                                <w:sz w:val="20"/>
                                <w:shd w:fill="eef3fa"/>
                                <w:vertAlign w:val="baseline"/>
                              </w:rPr>
                              <w:t xml:space="preserve">, Senior National Coordination Officer, </w:t>
                            </w:r>
                            <w:r w:rsidDel="00000000" w:rsidR="00000000" w:rsidRPr="00000000">
                              <w:rPr>
                                <w:rFonts w:ascii="Arial" w:cs="Arial" w:eastAsia="Arial" w:hAnsi="Arial"/>
                                <w:b w:val="0"/>
                                <w:i w:val="0"/>
                                <w:smallCaps w:val="0"/>
                                <w:strike w:val="0"/>
                                <w:color w:val="6d9eeb"/>
                                <w:sz w:val="20"/>
                                <w:shd w:fill="eef3fa"/>
                                <w:vertAlign w:val="baseline"/>
                              </w:rPr>
                              <w:t xml:space="preserve">myo.thidaswe@un.org</w:t>
                            </w:r>
                            <w:r w:rsidDel="00000000" w:rsidR="00000000" w:rsidRPr="00000000">
                              <w:rPr>
                                <w:rFonts w:ascii="Arial" w:cs="Arial" w:eastAsia="Arial" w:hAnsi="Arial"/>
                                <w:b w:val="0"/>
                                <w:i w:val="0"/>
                                <w:smallCaps w:val="0"/>
                                <w:strike w:val="0"/>
                                <w:color w:val="333333"/>
                                <w:sz w:val="20"/>
                                <w:shd w:fill="eef3fa"/>
                                <w:vertAlign w:val="baseline"/>
                              </w:rPr>
                              <w:t xml:space="preserve">, Tel: +959797007819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893885" cy="2105621"/>
                <wp:effectExtent b="0" l="0" r="0" t="0"/>
                <wp:wrapSquare wrapText="bothSides" distB="0" distT="0" distL="114300" distR="114300"/>
                <wp:docPr id="88" name="image6.png"/>
                <a:graphic>
                  <a:graphicData uri="http://schemas.openxmlformats.org/drawingml/2006/picture">
                    <pic:pic>
                      <pic:nvPicPr>
                        <pic:cNvPr id="0" name="image6.png"/>
                        <pic:cNvPicPr preferRelativeResize="0"/>
                      </pic:nvPicPr>
                      <pic:blipFill>
                        <a:blip r:embed="rId58"/>
                        <a:srcRect/>
                        <a:stretch>
                          <a:fillRect/>
                        </a:stretch>
                      </pic:blipFill>
                      <pic:spPr>
                        <a:xfrm>
                          <a:off x="0" y="0"/>
                          <a:ext cx="6893885" cy="2105621"/>
                        </a:xfrm>
                        <a:prstGeom prst="rect"/>
                        <a:ln/>
                      </pic:spPr>
                    </pic:pic>
                  </a:graphicData>
                </a:graphic>
              </wp:anchor>
            </w:drawing>
          </mc:Fallback>
        </mc:AlternateContent>
      </w:r>
    </w:p>
    <w:sectPr>
      <w:headerReference r:id="rId59" w:type="default"/>
      <w:footerReference r:id="rId60" w:type="default"/>
      <w:footerReference r:id="rId61"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680"/>
        <w:tab w:val="right" w:pos="9360"/>
      </w:tabs>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74840" cy="69850"/>
              <wp:effectExtent b="0" l="0" r="0" t="0"/>
              <wp:wrapNone/>
              <wp:docPr id="85"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74840" cy="69850"/>
              <wp:effectExtent b="0" l="0" r="0" t="0"/>
              <wp:wrapNone/>
              <wp:docPr id="8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74840" cy="698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17055" cy="69850"/>
              <wp:effectExtent b="0" l="0" r="0" t="0"/>
              <wp:wrapNone/>
              <wp:docPr id="84"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17055" cy="69850"/>
              <wp:effectExtent b="0" l="0" r="0" t="0"/>
              <wp:wrapNone/>
              <wp:docPr id="8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17055" cy="6985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Central Bank of Myanmar</w:t>
      </w:r>
    </w:p>
  </w:footnote>
  <w:footnote w:id="1">
    <w:p w:rsidR="00000000" w:rsidDel="00000000" w:rsidP="00000000" w:rsidRDefault="00000000" w:rsidRPr="00000000" w14:paraId="0000004F">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Northern Breeze money changer</w:t>
      </w:r>
    </w:p>
  </w:footnote>
  <w:footnote w:id="2">
    <w:p w:rsidR="00000000" w:rsidDel="00000000" w:rsidP="00000000" w:rsidRDefault="00000000" w:rsidRPr="00000000" w14:paraId="00000050">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Denko</w:t>
      </w:r>
    </w:p>
  </w:footnote>
  <w:footnote w:id="3">
    <w:p w:rsidR="00000000" w:rsidDel="00000000" w:rsidP="00000000" w:rsidRDefault="00000000" w:rsidRPr="00000000" w14:paraId="00000059">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CAR weekly monitoring report, 18 - 24 Nov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41</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17055" cy="69850"/>
              <wp:effectExtent b="0" l="0" r="0" t="0"/>
              <wp:wrapNone/>
              <wp:docPr id="87"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17055" cy="69850"/>
              <wp:effectExtent b="0" l="0" r="0" t="0"/>
              <wp:wrapNone/>
              <wp:docPr id="8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17055" cy="698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color w:val="418f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_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rc.washcluster.net/document/market-based-programming-wash-technical-guidance-practitioners" TargetMode="External"/><Relationship Id="rId42" Type="http://schemas.openxmlformats.org/officeDocument/2006/relationships/hyperlink" Target="https://drive.google.com/drive/folders/193bFxfg9-zSMeFpaEAg6O_HaHUjJ4pft" TargetMode="External"/><Relationship Id="rId41" Type="http://schemas.openxmlformats.org/officeDocument/2006/relationships/hyperlink" Target="https://docs.google.com/document/d/1sOMhb2OZi-ZGYdS8xtQtstRTv4XnQdxB/edit" TargetMode="External"/><Relationship Id="rId44" Type="http://schemas.openxmlformats.org/officeDocument/2006/relationships/hyperlink" Target="https://docs.google.com/spreadsheets/d/1rHfOpjri_-_PXJ-1J7oVz_EELDaLgDxY/edit#gid=1507160318" TargetMode="External"/><Relationship Id="rId43" Type="http://schemas.openxmlformats.org/officeDocument/2006/relationships/hyperlink" Target="https://docs.google.com/spreadsheets/d/1rHfOpjri_-_PXJ-1J7oVz_EELDaLgDxY/edit#gid=1507160318" TargetMode="External"/><Relationship Id="rId46" Type="http://schemas.openxmlformats.org/officeDocument/2006/relationships/hyperlink" Target="https://eur03.safelinks.protection.outlook.com/?url=https%3A%2F%2Fvimeo.com%2Fmanage%2Fvideos%2F639690528&amp;data=04%7C01%7CDavidDalgado%40redcross.org.uk%7C623ff19a739e444c903b08d9a9f3161a%7Cfedc3cbaca5e4388a837b45c7f0d71b7%7C0%7C0%7C637727683778190683%7CUnknown%7CTWFpbGZsb3d8eyJWIjoiMC4wLjAwMDAiLCJQIjoiV2luMzIiLCJBTiI6Ik1haWwiLCJXVCI6Mn0%3D%7C3000&amp;sdata=IZwGEcu2p4LPguKxzgmJcNELnFOw%2F%2BpjTR%2FRINEEOw4%3D&amp;reserved=0" TargetMode="External"/><Relationship Id="rId45" Type="http://schemas.openxmlformats.org/officeDocument/2006/relationships/hyperlink" Target="https://www.calpnetwork.org/publication/introduction-to-market-based-programming-in-emergency-was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GU0SD43aMi-C79VGrYHUttAFJBB_2_sW/view?usp=sharing" TargetMode="External"/><Relationship Id="rId48" Type="http://schemas.openxmlformats.org/officeDocument/2006/relationships/hyperlink" Target="https://eur03.safelinks.protection.outlook.com/?url=https%3A%2F%2Fvimeo.com%2Fmanage%2Fvideos%2F640367767&amp;data=04%7C01%7CDavidDalgado%40redcross.org.uk%7C623ff19a739e444c903b08d9a9f3161a%7Cfedc3cbaca5e4388a837b45c7f0d71b7%7C0%7C0%7C637727683778200677%7CUnknown%7CTWFpbGZsb3d8eyJWIjoiMC4wLjAwMDAiLCJQIjoiV2luMzIiLCJBTiI6Ik1haWwiLCJXVCI6Mn0%3D%7C3000&amp;sdata=pZ9AgJUewzIUewA%2F5Ve2Gx1UhJ0RGQy1a%2ByWbtmXKiQ%3D&amp;reserved=0" TargetMode="External"/><Relationship Id="rId47" Type="http://schemas.openxmlformats.org/officeDocument/2006/relationships/hyperlink" Target="https://eur03.safelinks.protection.outlook.com/?url=https%3A%2F%2Fcash-hub.org%2Fwp-content%2Fuploads%2Fsites%2F3%2F2021%2F11%2F20211027_CashHub_GCTforCommunityResilience.pdf&amp;data=04%7C01%7CDavidDalgado%40redcross.org.uk%7C623ff19a739e444c903b08d9a9f3161a%7Cfedc3cbaca5e4388a837b45c7f0d71b7%7C0%7C0%7C637727683778200677%7CUnknown%7CTWFpbGZsb3d8eyJWIjoiMC4wLjAwMDAiLCJQIjoiV2luMzIiLCJBTiI6Ik1haWwiLCJXVCI6Mn0%3D%7C3000&amp;sdata=82QTsgVdV0w9YXkpztT59w6wJifrcNzD0eall0J6kC0%3D&amp;reserved=0" TargetMode="External"/><Relationship Id="rId49" Type="http://schemas.openxmlformats.org/officeDocument/2006/relationships/hyperlink" Target="https://eur03.safelinks.protection.outlook.com/?url=https%3A%2F%2Fwww.calpnetwork.org%2Fpublication%2Fgroup-cash-transfers-guidance-and-tools%2F&amp;data=04%7C01%7CDavidDalgado%40redcross.org.uk%7C623ff19a739e444c903b08d9a9f3161a%7Cfedc3cbaca5e4388a837b45c7f0d71b7%7C0%7C0%7C637727683778210670%7CUnknown%7CTWFpbGZsb3d8eyJWIjoiMC4wLjAwMDAiLCJQIjoiV2luMzIiLCJBTiI6Ik1haWwiLCJXVCI6Mn0%3D%7C3000&amp;sdata=1JGG8v%2BZLEo9y1WGpXYsDB1C8Apwzg4qOOdNn5%2BWgQM%3D&amp;reserved=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www.themimu.info/sites/themimu.info/files/mau_public/Report_MAU_COVID-19_Impact_on_MFI_Clients_in_Rakhine.pdf" TargetMode="External"/><Relationship Id="rId30" Type="http://schemas.openxmlformats.org/officeDocument/2006/relationships/hyperlink" Target="http://www.themimu.info/sites/themimu.info/files/mau_public/Bulletin_MAU_-_Rakhine_-_October_2021_-_Market_Price_Report.pdf" TargetMode="External"/><Relationship Id="rId33" Type="http://schemas.openxmlformats.org/officeDocument/2006/relationships/hyperlink" Target="https://myanmar.ifpri.info/2021/11/25/effects-of-covid-19-on-myanmars-crop-trade-september-2021/" TargetMode="External"/><Relationship Id="rId32" Type="http://schemas.openxmlformats.org/officeDocument/2006/relationships/hyperlink" Target="http://www.themimu.info/sites/themimu.info/files/mau_public/Snapshot_-_MAU_-_Kayah_-_October_2021_-_Retailers.pdf" TargetMode="External"/><Relationship Id="rId35" Type="http://schemas.openxmlformats.org/officeDocument/2006/relationships/hyperlink" Target="https://docs.google.com/document/d/1ctPU3xYoch2N3pSs92ExQ4KmvEj7XHR2lMLfVPL43Nw/edit" TargetMode="External"/><Relationship Id="rId34" Type="http://schemas.openxmlformats.org/officeDocument/2006/relationships/hyperlink" Target="https://drive.google.com/file/d/1rs-1xTJt4O7qtrDTYee2nt8CcKP8X1-l/view?usp=sharing" TargetMode="External"/><Relationship Id="rId37" Type="http://schemas.openxmlformats.org/officeDocument/2006/relationships/hyperlink" Target="https://wrc.washcluster.net/sites/default/files/2021-08/Summary%20of%20Findings_EN.pdf" TargetMode="External"/><Relationship Id="rId36" Type="http://schemas.openxmlformats.org/officeDocument/2006/relationships/hyperlink" Target="https://www.youtube.com/watch?v=INfzXK8mDio" TargetMode="External"/><Relationship Id="rId39" Type="http://schemas.openxmlformats.org/officeDocument/2006/relationships/hyperlink" Target="https://wrc.washcluster.net/sites/default/files/2021-08/Summary%20of%20Findings_EN.pdf" TargetMode="External"/><Relationship Id="rId38" Type="http://schemas.openxmlformats.org/officeDocument/2006/relationships/hyperlink" Target="https://wrc.washcluster.net/sites/default/files/2021-08/Summary%20of%20Findings_EN.pdf" TargetMode="External"/><Relationship Id="rId61" Type="http://schemas.openxmlformats.org/officeDocument/2006/relationships/footer" Target="footer2.xml"/><Relationship Id="rId20" Type="http://schemas.openxmlformats.org/officeDocument/2006/relationships/hyperlink" Target="https://themimu.info/market-analysis-unit" TargetMode="External"/><Relationship Id="rId22" Type="http://schemas.openxmlformats.org/officeDocument/2006/relationships/hyperlink" Target="https://mercycorps.us6.list-manage.com/track/click?u=8fb7875546a431ae7abdde05e&amp;id=ee752c57f6&amp;e=aa9b314360" TargetMode="External"/><Relationship Id="rId21" Type="http://schemas.openxmlformats.org/officeDocument/2006/relationships/hyperlink" Target="http://mau-mpr-dashboard-beta.herokuapp.com/" TargetMode="External"/><Relationship Id="rId24" Type="http://schemas.openxmlformats.org/officeDocument/2006/relationships/hyperlink" Target="https://analytics.wfp.org/t/Public/views/MarketMonitoringDashboardv2/Overview_?:iid=1&amp;:isGuestRedirectFromVizportal=y&amp;:embed=y" TargetMode="External"/><Relationship Id="rId23" Type="http://schemas.openxmlformats.org/officeDocument/2006/relationships/hyperlink" Target="https://mercycorps.us6.list-manage.com/track/click?u=8fb7875546a431ae7abdde05e&amp;id=cd4ab8f0c0&amp;e=aa9b314360" TargetMode="External"/><Relationship Id="rId60" Type="http://schemas.openxmlformats.org/officeDocument/2006/relationships/footer" Target="footer1.xml"/><Relationship Id="rId26" Type="http://schemas.openxmlformats.org/officeDocument/2006/relationships/hyperlink" Target="https://dataviz.vam.wfp.org/economic_explorer/reports" TargetMode="External"/><Relationship Id="rId25" Type="http://schemas.openxmlformats.org/officeDocument/2006/relationships/hyperlink" Target="https://dataviz.vam.wfp.org/economic_explorer/reports" TargetMode="External"/><Relationship Id="rId28" Type="http://schemas.openxmlformats.org/officeDocument/2006/relationships/hyperlink" Target="https://analytics.wfp.org/t/Public/views/MyanmarEmergencyCashAssistanceInformation/OverallPage" TargetMode="External"/><Relationship Id="rId27" Type="http://schemas.openxmlformats.org/officeDocument/2006/relationships/hyperlink" Target="https://themimu.info/fsp-mapping" TargetMode="External"/><Relationship Id="rId29" Type="http://schemas.openxmlformats.org/officeDocument/2006/relationships/hyperlink" Target="http://www.themimu.info/sites/themimu.info/files/mau_public/Bulletin_MAU_-_Southeast_-_October_2021_-_Market_Price_Report.pdf.pdf" TargetMode="External"/><Relationship Id="rId51" Type="http://schemas.openxmlformats.org/officeDocument/2006/relationships/hyperlink" Target="https://eur03.safelinks.protection.outlook.com/?url=https%3A%2F%2Fwww.ifrc.org%2Fmedia%2F12223&amp;data=04%7C01%7CDavidDalgado%40redcross.org.uk%7C623ff19a739e444c903b08d9a9f3161a%7Cfedc3cbaca5e4388a837b45c7f0d71b7%7C0%7C0%7C637727683778220665%7CUnknown%7CTWFpbGZsb3d8eyJWIjoiMC4wLjAwMDAiLCJQIjoiV2luMzIiLCJBTiI6Ik1haWwiLCJXVCI6Mn0%3D%7C3000&amp;sdata=TBKP3G3y1sfhAIhfX464Be1jdWLZSAqJvxHLbXSGAfM%3D&amp;reserved=0" TargetMode="External"/><Relationship Id="rId50" Type="http://schemas.openxmlformats.org/officeDocument/2006/relationships/hyperlink" Target="https://eur03.safelinks.protection.outlook.com/?url=https%3A%2F%2Fwww.ifrc.org%2Fdocument%2Fifrc-framework-community-resilience&amp;data=04%7C01%7CDavidDalgado%40redcross.org.uk%7C623ff19a739e444c903b08d9a9f3161a%7Cfedc3cbaca5e4388a837b45c7f0d71b7%7C0%7C0%7C637727683778220665%7CUnknown%7CTWFpbGZsb3d8eyJWIjoiMC4wLjAwMDAiLCJQIjoiV2luMzIiLCJBTiI6Ik1haWwiLCJXVCI6Mn0%3D%7C3000&amp;sdata=uwHNHngMLNNSGp57DtH8CkePL5ucXAQ9luT6CtBtvAA%3D&amp;reserved=0" TargetMode="External"/><Relationship Id="rId53" Type="http://schemas.openxmlformats.org/officeDocument/2006/relationships/hyperlink" Target="mailto:p.sinibaldi@savethechildren.org.uk" TargetMode="External"/><Relationship Id="rId52" Type="http://schemas.openxmlformats.org/officeDocument/2006/relationships/hyperlink" Target="mailto:jbara@unisef.org" TargetMode="External"/><Relationship Id="rId11" Type="http://schemas.openxmlformats.org/officeDocument/2006/relationships/hyperlink" Target="https://drive.google.com/file/d/1LEOLK5mI2Gsn-SKyBhgkx2fzjGQswfvu/view?usp=sharing" TargetMode="External"/><Relationship Id="rId55" Type="http://schemas.openxmlformats.org/officeDocument/2006/relationships/hyperlink" Target="https://teams.microsoft.com/l/meetup-join/19%3ameeting_ZGVlNzgwY2YtMGQ0NS00ZDU3LThlYzYtN2FmMmQwMzEwODgy%40thread.v2/0?context=%7b%22Tid%22%3a%22fedc3cba-ca5e-4388-a837-b45c7f0d71b7%22%2c%22Oid%22%3a%2254557b05-9a28-4c98-90f8-8f03d961593a%22%7d" TargetMode="External"/><Relationship Id="rId10" Type="http://schemas.openxmlformats.org/officeDocument/2006/relationships/hyperlink" Target="https://drive.google.com/file/d/1eTtJ_ogPxyRW9VcN1Sug-uJE95n5i81p/view?usp=sharing" TargetMode="External"/><Relationship Id="rId54" Type="http://schemas.openxmlformats.org/officeDocument/2006/relationships/hyperlink" Target="mailto:janet.nyaoro@savethechildren.org" TargetMode="External"/><Relationship Id="rId13" Type="http://schemas.openxmlformats.org/officeDocument/2006/relationships/hyperlink" Target="https://themimu.info/sites/themimu.info/files/documents/Mtg_Minutes_CWG_Nov2021.pdf" TargetMode="External"/><Relationship Id="rId57" Type="http://schemas.openxmlformats.org/officeDocument/2006/relationships/image" Target="media/image1.png"/><Relationship Id="rId12" Type="http://schemas.openxmlformats.org/officeDocument/2006/relationships/hyperlink" Target="https://drive.google.com/file/d/1w7cPWGQNmDydsgJ_LXb2r67gljeDT2PP/view?usp=sharing" TargetMode="External"/><Relationship Id="rId56" Type="http://schemas.openxmlformats.org/officeDocument/2006/relationships/hyperlink" Target="https://www.calpnetwork.org/course/online-core-cva-skills-for-programme-staff/" TargetMode="External"/><Relationship Id="rId15" Type="http://schemas.openxmlformats.org/officeDocument/2006/relationships/hyperlink" Target="https://themimu.info/sites/themimu.info/files/documents/Summary_Myanmar_Minimum_Expenditure_Basket_MEB_Technical_Note_CWG_24Sep2021.docx" TargetMode="External"/><Relationship Id="rId59" Type="http://schemas.openxmlformats.org/officeDocument/2006/relationships/header" Target="header1.xml"/><Relationship Id="rId14" Type="http://schemas.openxmlformats.org/officeDocument/2006/relationships/hyperlink" Target="https://themimu.info/sites/themimu.info/files/documents/Template_Myanmar_Minimum_Expenditure_Basket_MEB_Calculation_CWG_24Sep2021.xlsx" TargetMode="External"/><Relationship Id="rId58" Type="http://schemas.openxmlformats.org/officeDocument/2006/relationships/image" Target="media/image6.png"/><Relationship Id="rId17" Type="http://schemas.openxmlformats.org/officeDocument/2006/relationships/hyperlink" Target="https://datastudio.google.com/u/0/reporting/1ab3123c-1589-42c7-bcbe-29bae99a0281/page/IAE6B/edit" TargetMode="External"/><Relationship Id="rId16" Type="http://schemas.openxmlformats.org/officeDocument/2006/relationships/hyperlink" Target="https://docs.google.com/spreadsheets/d/1xnQ8pFbqxr45WE4tXFFAKg3522Qyv8eR7cbpS8lm1Bw/edit#gid=1230035561" TargetMode="External"/><Relationship Id="rId19" Type="http://schemas.openxmlformats.org/officeDocument/2006/relationships/hyperlink" Target="https://docs.google.com/spreadsheets/d/1yNwgfqsyiNt28yP5gv2n0Lr66a-DW0YX/edit?usp=sharing&amp;ouid=114142602097260620093&amp;rtpof=true&amp;sd=true" TargetMode="External"/><Relationship Id="rId18" Type="http://schemas.openxmlformats.org/officeDocument/2006/relationships/hyperlink" Target="https://docs.google.com/spreadsheets/d/1yNwgfqsyiNt28yP5gv2n0Lr66a-DW0YX/edit?usp=sharing&amp;ouid=114142602097260620093&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nltkXFQCshhfHSL5TEXsLvCvA==">AMUW2mVIvH2myoBRSZt2BE6NU0H1wnqzP/c+RFDqxfBwnkYzZgtzdh1/KTH3Ktkzb4Od1t5W5NrNSpuNZYPkM86CNKgQy3BagqjFnmUh0Ag3lThhkfA1EDz1d5ZPMaWcqjh9QcmijdyeB9y1jQ5WgtQYDPdRLN2kRdC12VlBzdw7bnPLWuj3tesig+/HisCdyimHwvotvOsHPLjchMz/YbYPInQRT981nA==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