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Summary key roles of SAG members:</w:t>
      </w:r>
    </w:p>
    <w:p w:rsidR="00000000" w:rsidDel="00000000" w:rsidP="00000000" w:rsidRDefault="00000000" w:rsidRPr="00000000" w14:paraId="00000002">
      <w:pPr>
        <w:rPr/>
      </w:pPr>
      <w:r w:rsidDel="00000000" w:rsidR="00000000" w:rsidRPr="00000000">
        <w:rPr>
          <w:b w:val="1"/>
          <w:rtl w:val="0"/>
        </w:rPr>
        <w:t xml:space="preserve">UNICEF – </w:t>
      </w:r>
      <w:r w:rsidDel="00000000" w:rsidR="00000000" w:rsidRPr="00000000">
        <w:rPr>
          <w:rtl w:val="0"/>
        </w:rPr>
        <w:t xml:space="preserve">coordination and technical lead, liaising with MOHS, facilitating technical consensus among nutrition sector partners, consolidating technical inputs from partners to develop unified technical guidelines, materials that are approved by MOHS, mapping of partners for COVID-19 nutrition response</w:t>
      </w:r>
    </w:p>
    <w:p w:rsidR="00000000" w:rsidDel="00000000" w:rsidP="00000000" w:rsidRDefault="00000000" w:rsidRPr="00000000" w14:paraId="00000003">
      <w:pPr>
        <w:rPr/>
      </w:pPr>
      <w:bookmarkStart w:colFirst="0" w:colLast="0" w:name="_gjdgxs" w:id="0"/>
      <w:bookmarkEnd w:id="0"/>
      <w:r w:rsidDel="00000000" w:rsidR="00000000" w:rsidRPr="00000000">
        <w:rPr>
          <w:b w:val="1"/>
          <w:rtl w:val="0"/>
        </w:rPr>
        <w:t xml:space="preserve">WHO - </w:t>
      </w:r>
      <w:r w:rsidDel="00000000" w:rsidR="00000000" w:rsidRPr="00000000">
        <w:rPr>
          <w:rtl w:val="0"/>
        </w:rPr>
        <w:t xml:space="preserve">technical support, quality assurance for aligning to latest COVID-19 recommendations from WHO, support to editing and finalizing technical documents</w:t>
      </w:r>
    </w:p>
    <w:p w:rsidR="00000000" w:rsidDel="00000000" w:rsidP="00000000" w:rsidRDefault="00000000" w:rsidRPr="00000000" w14:paraId="00000004">
      <w:pPr>
        <w:rPr/>
      </w:pPr>
      <w:r w:rsidDel="00000000" w:rsidR="00000000" w:rsidRPr="00000000">
        <w:rPr>
          <w:b w:val="1"/>
          <w:rtl w:val="0"/>
        </w:rPr>
        <w:t xml:space="preserve">WFP – </w:t>
      </w:r>
      <w:r w:rsidDel="00000000" w:rsidR="00000000" w:rsidRPr="00000000">
        <w:rPr>
          <w:rtl w:val="0"/>
        </w:rPr>
        <w:t xml:space="preserve">technical support, integrating nutrition specific interventions into BSFP platform</w:t>
      </w:r>
      <w:r w:rsidDel="00000000" w:rsidR="00000000" w:rsidRPr="00000000">
        <w:rPr>
          <w:b w:val="1"/>
          <w:rtl w:val="0"/>
        </w:rPr>
        <w:t xml:space="preserve">, </w:t>
      </w:r>
      <w:r w:rsidDel="00000000" w:rsidR="00000000" w:rsidRPr="00000000">
        <w:rPr>
          <w:rtl w:val="0"/>
        </w:rPr>
        <w:t xml:space="preserve">focal on school feeding/nutrition in COVID context whenever schools open again</w:t>
      </w:r>
    </w:p>
    <w:p w:rsidR="00000000" w:rsidDel="00000000" w:rsidP="00000000" w:rsidRDefault="00000000" w:rsidRPr="00000000" w14:paraId="00000005">
      <w:pPr>
        <w:rPr/>
      </w:pPr>
      <w:r w:rsidDel="00000000" w:rsidR="00000000" w:rsidRPr="00000000">
        <w:rPr>
          <w:b w:val="1"/>
          <w:rtl w:val="0"/>
        </w:rPr>
        <w:t xml:space="preserve">UNOPS – </w:t>
      </w:r>
      <w:r w:rsidDel="00000000" w:rsidR="00000000" w:rsidRPr="00000000">
        <w:rPr>
          <w:rtl w:val="0"/>
        </w:rPr>
        <w:t xml:space="preserve">technical support, facilitating coordination and identifying gaps on nutrition sensitive programming in other sectors, coordinating among A2H and LIFT implementing partners to align/follow approved COVID-19 nutrition guidance and materials for nutrition</w:t>
      </w:r>
    </w:p>
    <w:p w:rsidR="00000000" w:rsidDel="00000000" w:rsidP="00000000" w:rsidRDefault="00000000" w:rsidRPr="00000000" w14:paraId="00000006">
      <w:pPr>
        <w:rPr/>
      </w:pPr>
      <w:r w:rsidDel="00000000" w:rsidR="00000000" w:rsidRPr="00000000">
        <w:rPr>
          <w:b w:val="1"/>
          <w:rtl w:val="0"/>
        </w:rPr>
        <w:t xml:space="preserve">UN REACH – </w:t>
      </w:r>
      <w:r w:rsidDel="00000000" w:rsidR="00000000" w:rsidRPr="00000000">
        <w:rPr>
          <w:rtl w:val="0"/>
        </w:rPr>
        <w:t xml:space="preserve">support in translation of materials, providing technical input and support to coordination with other sectors via MS-NPAN platform as needed</w:t>
      </w:r>
    </w:p>
    <w:p w:rsidR="00000000" w:rsidDel="00000000" w:rsidP="00000000" w:rsidRDefault="00000000" w:rsidRPr="00000000" w14:paraId="00000007">
      <w:pPr>
        <w:rPr/>
      </w:pPr>
      <w:r w:rsidDel="00000000" w:rsidR="00000000" w:rsidRPr="00000000">
        <w:rPr>
          <w:b w:val="1"/>
          <w:rtl w:val="0"/>
        </w:rPr>
        <w:t xml:space="preserve">NGOs (ACF, SCI, MHAA) – </w:t>
      </w:r>
      <w:r w:rsidDel="00000000" w:rsidR="00000000" w:rsidRPr="00000000">
        <w:rPr>
          <w:rtl w:val="0"/>
        </w:rPr>
        <w:t xml:space="preserve">sharing best practices from the field, communicating needs/gaps from the field, providing technical input, sharing nutrition information and updates through NGO networks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Priorities for week March 30 – April 3</w:t>
      </w:r>
    </w:p>
    <w:tbl>
      <w:tblPr>
        <w:tblStyle w:val="Table1"/>
        <w:tblW w:w="147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15"/>
        <w:gridCol w:w="1878"/>
        <w:gridCol w:w="2138"/>
        <w:gridCol w:w="3780"/>
        <w:gridCol w:w="3544"/>
        <w:tblGridChange w:id="0">
          <w:tblGrid>
            <w:gridCol w:w="3415"/>
            <w:gridCol w:w="1878"/>
            <w:gridCol w:w="2138"/>
            <w:gridCol w:w="3780"/>
            <w:gridCol w:w="3544"/>
          </w:tblGrid>
        </w:tblGridChange>
      </w:tblGrid>
      <w:tr>
        <w:trPr>
          <w:trHeight w:val="622" w:hRule="atLeast"/>
        </w:trPr>
        <w:tc>
          <w:tcPr/>
          <w:p w:rsidR="00000000" w:rsidDel="00000000" w:rsidP="00000000" w:rsidRDefault="00000000" w:rsidRPr="00000000" w14:paraId="0000000A">
            <w:pPr>
              <w:jc w:val="center"/>
              <w:rPr>
                <w:b w:val="1"/>
              </w:rPr>
            </w:pPr>
            <w:r w:rsidDel="00000000" w:rsidR="00000000" w:rsidRPr="00000000">
              <w:rPr>
                <w:b w:val="1"/>
                <w:rtl w:val="0"/>
              </w:rPr>
              <w:t xml:space="preserve">Priority actions</w:t>
            </w:r>
          </w:p>
        </w:tc>
        <w:tc>
          <w:tcPr/>
          <w:p w:rsidR="00000000" w:rsidDel="00000000" w:rsidP="00000000" w:rsidRDefault="00000000" w:rsidRPr="00000000" w14:paraId="0000000B">
            <w:pPr>
              <w:jc w:val="center"/>
              <w:rPr>
                <w:b w:val="1"/>
              </w:rPr>
            </w:pPr>
            <w:r w:rsidDel="00000000" w:rsidR="00000000" w:rsidRPr="00000000">
              <w:rPr>
                <w:b w:val="1"/>
                <w:rtl w:val="0"/>
              </w:rPr>
              <w:t xml:space="preserve">Partners/Focals</w:t>
            </w:r>
          </w:p>
        </w:tc>
        <w:tc>
          <w:tcPr/>
          <w:p w:rsidR="00000000" w:rsidDel="00000000" w:rsidP="00000000" w:rsidRDefault="00000000" w:rsidRPr="00000000" w14:paraId="0000000C">
            <w:pPr>
              <w:jc w:val="center"/>
              <w:rPr>
                <w:b w:val="1"/>
              </w:rPr>
            </w:pPr>
            <w:r w:rsidDel="00000000" w:rsidR="00000000" w:rsidRPr="00000000">
              <w:rPr>
                <w:b w:val="1"/>
                <w:rtl w:val="0"/>
              </w:rPr>
              <w:t xml:space="preserve">Deadline</w:t>
            </w:r>
          </w:p>
        </w:tc>
        <w:tc>
          <w:tcPr/>
          <w:p w:rsidR="00000000" w:rsidDel="00000000" w:rsidP="00000000" w:rsidRDefault="00000000" w:rsidRPr="00000000" w14:paraId="0000000D">
            <w:pPr>
              <w:jc w:val="center"/>
              <w:rPr>
                <w:b w:val="1"/>
              </w:rPr>
            </w:pPr>
            <w:r w:rsidDel="00000000" w:rsidR="00000000" w:rsidRPr="00000000">
              <w:rPr>
                <w:b w:val="1"/>
                <w:rtl w:val="0"/>
              </w:rPr>
              <w:t xml:space="preserve">Remarks</w:t>
            </w:r>
          </w:p>
        </w:tc>
        <w:tc>
          <w:tcPr>
            <w:shd w:fill="ffff00" w:val="clear"/>
          </w:tcPr>
          <w:p w:rsidR="00000000" w:rsidDel="00000000" w:rsidP="00000000" w:rsidRDefault="00000000" w:rsidRPr="00000000" w14:paraId="0000000E">
            <w:pPr>
              <w:jc w:val="center"/>
              <w:rPr>
                <w:b w:val="1"/>
              </w:rPr>
            </w:pPr>
            <w:r w:rsidDel="00000000" w:rsidR="00000000" w:rsidRPr="00000000">
              <w:rPr>
                <w:b w:val="1"/>
                <w:rtl w:val="0"/>
              </w:rPr>
              <w:t xml:space="preserve">Key technical issues that should be included</w:t>
            </w:r>
          </w:p>
        </w:tc>
      </w:tr>
      <w:tr>
        <w:trPr>
          <w:trHeight w:val="3494" w:hRule="atLeast"/>
        </w:trPr>
        <w:tc>
          <w:tcPr/>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50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 technical content for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specific C4D nutrition messages integrating COVID-19</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global risk mitigation measures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50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Messages should include topics:</w:t>
            </w:r>
          </w:p>
          <w:p w:rsidR="00000000" w:rsidDel="00000000" w:rsidP="00000000" w:rsidRDefault="00000000" w:rsidRPr="00000000" w14:paraId="0000001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EBF</w:t>
            </w:r>
          </w:p>
          <w:p w:rsidR="00000000" w:rsidDel="00000000" w:rsidP="00000000" w:rsidRDefault="00000000" w:rsidRPr="00000000" w14:paraId="0000001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BMS donations</w:t>
            </w:r>
          </w:p>
          <w:p w:rsidR="00000000" w:rsidDel="00000000" w:rsidP="00000000" w:rsidRDefault="00000000" w:rsidRPr="00000000" w14:paraId="0000001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CF</w:t>
            </w:r>
          </w:p>
          <w:p w:rsidR="00000000" w:rsidDel="00000000" w:rsidP="00000000" w:rsidRDefault="00000000" w:rsidRPr="00000000" w14:paraId="0000001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Responsive feeding for sick child</w:t>
            </w:r>
          </w:p>
          <w:p w:rsidR="00000000" w:rsidDel="00000000" w:rsidP="00000000" w:rsidRDefault="00000000" w:rsidRPr="00000000" w14:paraId="0000001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to do for sick or malnourished child</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50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UNICEF (Ko Pyae) and SCI (Sanda Lin)</w:t>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50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Share to SAG for review/inputs by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Thursday April 2 noon</w:t>
            </w:r>
            <w:r w:rsidDel="00000000" w:rsidR="00000000" w:rsidRPr="00000000">
              <w:rPr>
                <w:rtl w:val="0"/>
              </w:rPr>
            </w:r>
          </w:p>
        </w:tc>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50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upon already approved/existing technical materials</w:t>
            </w:r>
          </w:p>
          <w:p w:rsidR="00000000" w:rsidDel="00000000" w:rsidP="00000000" w:rsidRDefault="00000000" w:rsidRPr="00000000" w14:paraId="0000001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50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Incorporating COVID-19 risk mitigation and precautionary measures (from WHO, GNC, etc.)</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tl w:val="0"/>
              </w:rPr>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color w:val="ff0000"/>
                <w:rtl w:val="0"/>
              </w:rPr>
              <w:t xml:space="preserve">SAG agencies to please insert in this column, the different concerns, clarifications, technical issues that you would like to see addressed/ included</w:t>
            </w:r>
            <w:r w:rsidDel="00000000" w:rsidR="00000000" w:rsidRPr="00000000">
              <w:rPr>
                <w:rtl w:val="0"/>
              </w:rPr>
            </w:r>
          </w:p>
        </w:tc>
      </w:tr>
      <w:tr>
        <w:trPr>
          <w:trHeight w:val="890" w:hRule="atLeast"/>
        </w:trPr>
        <w:tc>
          <w:tcPr/>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32" w:right="0" w:hanging="288"/>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specific technical guidance on key nutrition program areas, adapted to context of COVID-19</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32"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Specific guidance on:</w:t>
            </w:r>
          </w:p>
          <w:p w:rsidR="00000000" w:rsidDel="00000000" w:rsidP="00000000" w:rsidRDefault="00000000" w:rsidRPr="00000000" w14:paraId="0000002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IYCF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(counselling and community promotion including mother to mother groups)</w:t>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IMAM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(including simplified, adapted criteria, protocol)</w:t>
            </w:r>
          </w:p>
          <w:p w:rsidR="00000000" w:rsidDel="00000000" w:rsidP="00000000" w:rsidRDefault="00000000" w:rsidRPr="00000000" w14:paraId="0000002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Micronutrient supplementation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(MMS, Vit B1 to PLWs, MNPs to young children)</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BMS use and distribution</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32"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UNICEF (Kyaw Win Sein and Nay Tun Kyaw)</w:t>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32"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Share to SAG for review/inputs by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Thursday April 2 noon</w:t>
            </w:r>
            <w:r w:rsidDel="00000000" w:rsidR="00000000" w:rsidRPr="00000000">
              <w:rPr>
                <w:rtl w:val="0"/>
              </w:rPr>
            </w:r>
          </w:p>
        </w:tc>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432"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32"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These are simplified, bullet point guidelines 1-2 pages max. </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32"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These guidelines will be part of ONE document, with an overall guidance note introduction (based on SAG first draft version already circulated commented by NNC and being translated by SNN)</w:t>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rPr/>
            </w:pPr>
            <w:r w:rsidDel="00000000" w:rsidR="00000000" w:rsidRPr="00000000">
              <w:rPr>
                <w:b w:val="1"/>
                <w:color w:val="ff0000"/>
                <w:rtl w:val="0"/>
              </w:rPr>
              <w:t xml:space="preserve">SAG agencies to please insert in this column, the different concerns, clarifications, technical issues that you would like to see addressed/ included</w:t>
            </w:r>
            <w:r w:rsidDel="00000000" w:rsidR="00000000" w:rsidRPr="00000000">
              <w:rPr>
                <w:rtl w:val="0"/>
              </w:rPr>
            </w:r>
          </w:p>
        </w:tc>
      </w:tr>
      <w:tr>
        <w:trPr>
          <w:trHeight w:val="890" w:hRule="atLeast"/>
        </w:trPr>
        <w:tc>
          <w:tcPr/>
          <w:p w:rsidR="00000000" w:rsidDel="00000000" w:rsidP="00000000" w:rsidRDefault="00000000" w:rsidRPr="00000000" w14:paraId="0000003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32" w:right="0" w:hanging="288"/>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specific technical guidance on BSFP adapted to context of COVID-19</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32"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Specific guidance should include what other nutrition activities should be integrated with BSFP programmes (IYCF promotion, screening-referral, MNPs or not?)</w:t>
            </w:r>
          </w:p>
          <w:p w:rsidR="00000000" w:rsidDel="00000000" w:rsidP="00000000" w:rsidRDefault="00000000" w:rsidRPr="00000000" w14:paraId="00000037">
            <w:pPr>
              <w:rPr/>
            </w:pPr>
            <w:r w:rsidDel="00000000" w:rsidR="00000000" w:rsidRPr="00000000">
              <w:rPr>
                <w:rtl w:val="0"/>
              </w:rPr>
            </w:r>
          </w:p>
        </w:tc>
        <w:tc>
          <w:tcPr/>
          <w:p w:rsidR="00000000" w:rsidDel="00000000" w:rsidP="00000000" w:rsidRDefault="00000000" w:rsidRPr="00000000" w14:paraId="0000003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432" w:right="0" w:hanging="288"/>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WFP (Melody)</w:t>
            </w:r>
          </w:p>
        </w:tc>
        <w:tc>
          <w:tcPr/>
          <w:p w:rsidR="00000000" w:rsidDel="00000000" w:rsidP="00000000" w:rsidRDefault="00000000" w:rsidRPr="00000000" w14:paraId="0000003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432" w:right="0" w:hanging="288"/>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Share to SAG for review/inputs by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Thursday April 2 noon</w:t>
            </w:r>
            <w:r w:rsidDel="00000000" w:rsidR="00000000" w:rsidRPr="00000000">
              <w:rPr>
                <w:rtl w:val="0"/>
              </w:rPr>
            </w:r>
          </w:p>
        </w:tc>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432"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trHeight w:val="890" w:hRule="atLeast"/>
        </w:trPr>
        <w:tc>
          <w:tcPr/>
          <w:p w:rsidR="00000000" w:rsidDel="00000000" w:rsidP="00000000" w:rsidRDefault="00000000" w:rsidRPr="00000000" w14:paraId="000000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32" w:right="0" w:hanging="288"/>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 consolidation of SAG inputs and editing into one document that reflects everyone’s input and agreement</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432"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432" w:right="0" w:hanging="288"/>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WHO (Dinesh)</w:t>
            </w:r>
          </w:p>
        </w:tc>
        <w:tc>
          <w:tcPr/>
          <w:p w:rsidR="00000000" w:rsidDel="00000000" w:rsidP="00000000" w:rsidRDefault="00000000" w:rsidRPr="00000000" w14:paraId="0000003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432" w:right="0" w:hanging="288"/>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Share to SAG for final review/inputs by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Tuesday April 7 COB</w:t>
            </w:r>
            <w:r w:rsidDel="00000000" w:rsidR="00000000" w:rsidRPr="00000000">
              <w:rPr>
                <w:rtl w:val="0"/>
              </w:rPr>
            </w:r>
          </w:p>
          <w:p w:rsidR="00000000" w:rsidDel="00000000" w:rsidP="00000000" w:rsidRDefault="00000000" w:rsidRPr="00000000" w14:paraId="00000040">
            <w:pPr>
              <w:ind w:left="144"/>
              <w:rPr/>
            </w:pPr>
            <w:r w:rsidDel="00000000" w:rsidR="00000000" w:rsidRPr="00000000">
              <w:rPr>
                <w:rtl w:val="0"/>
              </w:rPr>
            </w:r>
          </w:p>
          <w:p w:rsidR="00000000" w:rsidDel="00000000" w:rsidP="00000000" w:rsidRDefault="00000000" w:rsidRPr="00000000" w14:paraId="00000041">
            <w:pPr>
              <w:ind w:left="144"/>
              <w:rPr>
                <w:b w:val="1"/>
              </w:rPr>
            </w:pPr>
            <w:r w:rsidDel="00000000" w:rsidR="00000000" w:rsidRPr="00000000">
              <w:rPr>
                <w:b w:val="1"/>
                <w:rtl w:val="0"/>
              </w:rPr>
              <w:t xml:space="preserve">UNICEF to share with NNC for review and aim for approval (by Friday April 10)</w:t>
            </w:r>
          </w:p>
        </w:tc>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432"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4">
      <w:pPr>
        <w:rPr>
          <w:b w:val="1"/>
        </w:rPr>
      </w:pPr>
      <w:r w:rsidDel="00000000" w:rsidR="00000000" w:rsidRPr="00000000">
        <w:rPr>
          <w:rtl w:val="0"/>
        </w:rPr>
      </w:r>
    </w:p>
    <w:sectPr>
      <w:pgSz w:h="12240" w:w="158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32" w:hanging="360"/>
      </w:pPr>
      <w:rPr>
        <w:rFonts w:ascii="Noto Sans Symbols" w:cs="Noto Sans Symbols" w:eastAsia="Noto Sans Symbols" w:hAnsi="Noto Sans Symbols"/>
      </w:rPr>
    </w:lvl>
    <w:lvl w:ilvl="1">
      <w:start w:val="1"/>
      <w:numFmt w:val="bullet"/>
      <w:lvlText w:val="o"/>
      <w:lvlJc w:val="left"/>
      <w:pPr>
        <w:ind w:left="1944" w:hanging="360"/>
      </w:pPr>
      <w:rPr>
        <w:rFonts w:ascii="Courier New" w:cs="Courier New" w:eastAsia="Courier New" w:hAnsi="Courier New"/>
      </w:rPr>
    </w:lvl>
    <w:lvl w:ilvl="2">
      <w:start w:val="1"/>
      <w:numFmt w:val="bullet"/>
      <w:lvlText w:val="▪"/>
      <w:lvlJc w:val="left"/>
      <w:pPr>
        <w:ind w:left="2664" w:hanging="360"/>
      </w:pPr>
      <w:rPr>
        <w:rFonts w:ascii="Noto Sans Symbols" w:cs="Noto Sans Symbols" w:eastAsia="Noto Sans Symbols" w:hAnsi="Noto Sans Symbols"/>
      </w:rPr>
    </w:lvl>
    <w:lvl w:ilvl="3">
      <w:start w:val="1"/>
      <w:numFmt w:val="bullet"/>
      <w:lvlText w:val="●"/>
      <w:lvlJc w:val="left"/>
      <w:pPr>
        <w:ind w:left="3384" w:hanging="360"/>
      </w:pPr>
      <w:rPr>
        <w:rFonts w:ascii="Noto Sans Symbols" w:cs="Noto Sans Symbols" w:eastAsia="Noto Sans Symbols" w:hAnsi="Noto Sans Symbols"/>
      </w:rPr>
    </w:lvl>
    <w:lvl w:ilvl="4">
      <w:start w:val="1"/>
      <w:numFmt w:val="bullet"/>
      <w:lvlText w:val="o"/>
      <w:lvlJc w:val="left"/>
      <w:pPr>
        <w:ind w:left="4104" w:hanging="360"/>
      </w:pPr>
      <w:rPr>
        <w:rFonts w:ascii="Courier New" w:cs="Courier New" w:eastAsia="Courier New" w:hAnsi="Courier New"/>
      </w:rPr>
    </w:lvl>
    <w:lvl w:ilvl="5">
      <w:start w:val="1"/>
      <w:numFmt w:val="bullet"/>
      <w:lvlText w:val="▪"/>
      <w:lvlJc w:val="left"/>
      <w:pPr>
        <w:ind w:left="4824" w:hanging="360"/>
      </w:pPr>
      <w:rPr>
        <w:rFonts w:ascii="Noto Sans Symbols" w:cs="Noto Sans Symbols" w:eastAsia="Noto Sans Symbols" w:hAnsi="Noto Sans Symbols"/>
      </w:rPr>
    </w:lvl>
    <w:lvl w:ilvl="6">
      <w:start w:val="1"/>
      <w:numFmt w:val="bullet"/>
      <w:lvlText w:val="●"/>
      <w:lvlJc w:val="left"/>
      <w:pPr>
        <w:ind w:left="5544" w:hanging="360"/>
      </w:pPr>
      <w:rPr>
        <w:rFonts w:ascii="Noto Sans Symbols" w:cs="Noto Sans Symbols" w:eastAsia="Noto Sans Symbols" w:hAnsi="Noto Sans Symbols"/>
      </w:rPr>
    </w:lvl>
    <w:lvl w:ilvl="7">
      <w:start w:val="1"/>
      <w:numFmt w:val="bullet"/>
      <w:lvlText w:val="o"/>
      <w:lvlJc w:val="left"/>
      <w:pPr>
        <w:ind w:left="6264" w:hanging="360"/>
      </w:pPr>
      <w:rPr>
        <w:rFonts w:ascii="Courier New" w:cs="Courier New" w:eastAsia="Courier New" w:hAnsi="Courier New"/>
      </w:rPr>
    </w:lvl>
    <w:lvl w:ilvl="8">
      <w:start w:val="1"/>
      <w:numFmt w:val="bullet"/>
      <w:lvlText w:val="▪"/>
      <w:lvlJc w:val="left"/>
      <w:pPr>
        <w:ind w:left="6984"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432" w:hanging="288"/>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504"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