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240" w:lineRule="auto"/>
        <w:jc w:val="center"/>
        <w:rPr>
          <w:rFonts w:ascii="Times New Roman" w:cs="Times New Roman" w:eastAsia="Times New Roman" w:hAnsi="Times New Roman"/>
          <w:color w:val="0070c0"/>
          <w:sz w:val="22"/>
          <w:szCs w:val="22"/>
        </w:rPr>
      </w:pPr>
      <w:r w:rsidDel="00000000" w:rsidR="00000000" w:rsidRPr="00000000">
        <w:rPr>
          <w:rFonts w:ascii="Times New Roman" w:cs="Times New Roman" w:eastAsia="Times New Roman" w:hAnsi="Times New Roman"/>
          <w:color w:val="0070c0"/>
          <w:sz w:val="22"/>
          <w:szCs w:val="22"/>
          <w:rtl w:val="0"/>
        </w:rPr>
        <w:t xml:space="preserve">Nutrition in Emergency (NiE) SAG meeting, Myanmar</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Zoom meeting, 28 May 2020, 13:00-14:30</w:t>
      </w:r>
    </w:p>
    <w:p w:rsidR="00000000" w:rsidDel="00000000" w:rsidP="00000000" w:rsidRDefault="00000000" w:rsidRPr="00000000" w14:paraId="00000003">
      <w:pPr>
        <w:pStyle w:val="Heading1"/>
        <w:spacing w:after="120" w:line="240" w:lineRule="auto"/>
        <w:rPr>
          <w:rFonts w:ascii="Times New Roman" w:cs="Times New Roman" w:eastAsia="Times New Roman" w:hAnsi="Times New Roman"/>
          <w:color w:val="0070c0"/>
          <w:sz w:val="22"/>
          <w:szCs w:val="22"/>
        </w:rPr>
      </w:pPr>
      <w:r w:rsidDel="00000000" w:rsidR="00000000" w:rsidRPr="00000000">
        <w:rPr>
          <w:rFonts w:ascii="Times New Roman" w:cs="Times New Roman" w:eastAsia="Times New Roman" w:hAnsi="Times New Roman"/>
          <w:color w:val="0070c0"/>
          <w:sz w:val="22"/>
          <w:szCs w:val="22"/>
          <w:rtl w:val="0"/>
        </w:rPr>
        <w:t xml:space="preserve">Meeting minutes</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Chair</w:t>
      </w:r>
      <w:r w:rsidDel="00000000" w:rsidR="00000000" w:rsidRPr="00000000">
        <w:rPr>
          <w:rFonts w:ascii="Times New Roman" w:cs="Times New Roman" w:eastAsia="Times New Roman" w:hAnsi="Times New Roman"/>
          <w:rtl w:val="0"/>
        </w:rPr>
        <w:t xml:space="preserve">: UNICEF on behalf of the nutrition sector</w:t>
      </w:r>
    </w:p>
    <w:p w:rsidR="00000000" w:rsidDel="00000000" w:rsidP="00000000" w:rsidRDefault="00000000" w:rsidRPr="00000000" w14:paraId="00000005">
      <w:pPr>
        <w:pStyle w:val="Heading2"/>
        <w:spacing w:line="240" w:lineRule="auto"/>
        <w:rPr>
          <w:rFonts w:ascii="Times New Roman" w:cs="Times New Roman" w:eastAsia="Times New Roman" w:hAnsi="Times New Roman"/>
          <w:color w:val="0070c0"/>
          <w:sz w:val="22"/>
          <w:szCs w:val="22"/>
        </w:rPr>
      </w:pPr>
      <w:r w:rsidDel="00000000" w:rsidR="00000000" w:rsidRPr="00000000">
        <w:rPr>
          <w:rFonts w:ascii="Times New Roman" w:cs="Times New Roman" w:eastAsia="Times New Roman" w:hAnsi="Times New Roman"/>
          <w:color w:val="0070c0"/>
          <w:sz w:val="22"/>
          <w:szCs w:val="22"/>
          <w:rtl w:val="0"/>
        </w:rPr>
        <w:t xml:space="preserve">Agenda</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1"/>
        </w:numPr>
        <w:spacing w:after="0" w:afterAutospacing="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Update on the capacity building of nutrition in the context of COVID.</w:t>
      </w:r>
    </w:p>
    <w:p w:rsidR="00000000" w:rsidDel="00000000" w:rsidP="00000000" w:rsidRDefault="00000000" w:rsidRPr="00000000" w14:paraId="00000008">
      <w:pPr>
        <w:numPr>
          <w:ilvl w:val="0"/>
          <w:numId w:val="1"/>
        </w:numPr>
        <w:spacing w:after="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Update on the survey questionnaire  to understand the utilization and feedback from the nutrition partner on the adapted nutrition guidance package</w:t>
      </w:r>
    </w:p>
    <w:p w:rsidR="00000000" w:rsidDel="00000000" w:rsidP="00000000" w:rsidRDefault="00000000" w:rsidRPr="00000000" w14:paraId="00000009">
      <w:pPr>
        <w:numPr>
          <w:ilvl w:val="0"/>
          <w:numId w:val="1"/>
        </w:numPr>
        <w:spacing w:after="0" w:afterAutospacing="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Updates on Nutrition sensitive guidance</w:t>
      </w:r>
    </w:p>
    <w:p w:rsidR="00000000" w:rsidDel="00000000" w:rsidP="00000000" w:rsidRDefault="00000000" w:rsidRPr="00000000" w14:paraId="0000000A">
      <w:pPr>
        <w:numPr>
          <w:ilvl w:val="0"/>
          <w:numId w:val="1"/>
        </w:numPr>
        <w:spacing w:after="0" w:afterAutospacing="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Timelines for guidance revisions and guidance for non-nutrition partners</w:t>
      </w:r>
    </w:p>
    <w:p w:rsidR="00000000" w:rsidDel="00000000" w:rsidP="00000000" w:rsidRDefault="00000000" w:rsidRPr="00000000" w14:paraId="0000000B">
      <w:pPr>
        <w:numPr>
          <w:ilvl w:val="0"/>
          <w:numId w:val="1"/>
        </w:numPr>
        <w:spacing w:after="0" w:afterAutospacing="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Supply updates – UNICEF, WFP and ACCESS</w:t>
      </w:r>
    </w:p>
    <w:p w:rsidR="00000000" w:rsidDel="00000000" w:rsidP="00000000" w:rsidRDefault="00000000" w:rsidRPr="00000000" w14:paraId="0000000C">
      <w:pPr>
        <w:numPr>
          <w:ilvl w:val="0"/>
          <w:numId w:val="1"/>
        </w:numPr>
        <w:spacing w:after="0" w:afterAutospacing="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MS-NPAN and SUN network updates</w:t>
      </w:r>
    </w:p>
    <w:p w:rsidR="00000000" w:rsidDel="00000000" w:rsidP="00000000" w:rsidRDefault="00000000" w:rsidRPr="00000000" w14:paraId="0000000D">
      <w:pPr>
        <w:numPr>
          <w:ilvl w:val="0"/>
          <w:numId w:val="1"/>
        </w:numPr>
        <w:spacing w:after="0" w:afterAutospacing="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ICCG/Nutrition sector coordination updates</w:t>
      </w:r>
    </w:p>
    <w:p w:rsidR="00000000" w:rsidDel="00000000" w:rsidP="00000000" w:rsidRDefault="00000000" w:rsidRPr="00000000" w14:paraId="0000000E">
      <w:pPr>
        <w:numPr>
          <w:ilvl w:val="0"/>
          <w:numId w:val="1"/>
        </w:numPr>
        <w:spacing w:after="240" w:lineRule="auto"/>
        <w:ind w:hanging="360"/>
        <w:rPr>
          <w:rFonts w:ascii="Arial" w:cs="Arial" w:eastAsia="Arial" w:hAnsi="Arial"/>
        </w:rPr>
      </w:pPr>
      <w:r w:rsidDel="00000000" w:rsidR="00000000" w:rsidRPr="00000000">
        <w:rPr>
          <w:rFonts w:ascii="Times New Roman" w:cs="Times New Roman" w:eastAsia="Times New Roman" w:hAnsi="Times New Roman"/>
          <w:rtl w:val="0"/>
        </w:rPr>
        <w:t xml:space="preserve">AOB</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color w:val="000000"/>
          <w:u w:val="single"/>
          <w:rtl w:val="0"/>
        </w:rPr>
        <w:t xml:space="preserve">Discussion Note</w:t>
      </w:r>
      <w:r w:rsidDel="00000000" w:rsidR="00000000" w:rsidRPr="00000000">
        <w:rPr>
          <w:rtl w:val="0"/>
        </w:rPr>
      </w:r>
    </w:p>
    <w:p w:rsidR="00000000" w:rsidDel="00000000" w:rsidP="00000000" w:rsidRDefault="00000000" w:rsidRPr="00000000" w14:paraId="00000010">
      <w:pPr>
        <w:spacing w:after="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time limitation, only 5 items out of 8 from the planned agenda were able to discuss.</w:t>
      </w:r>
    </w:p>
    <w:p w:rsidR="00000000" w:rsidDel="00000000" w:rsidP="00000000" w:rsidRDefault="00000000" w:rsidRPr="00000000" w14:paraId="00000012">
      <w:pPr>
        <w:spacing w:after="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1.Update on the capacity building of nutrition in the context of COVID.</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7-day virtual training for c-IYCF was accomplished this week and participants from different States and Regions including the EHO areas attended. Participants requested further training such as Micronutrient supplementation, BMS. Virtual training is more cost-effective and further discussion is required for a longer period. Pros and Cons, as well as the benefits and limitations of the virtual training, was also discussed. It is required to document the impacts, lessons learnt and benefits from the virtual training properly and analyze for future recommendation. Dr Kyaw also discussed with NNC about planning to conduct nutrition training for the government staff, for example, the BFHI virtual training to the State Regional Nutrition Team.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May version of the adapted guidance note for nutrition during the context of COVID-19 and the simplified nutrition guidance note for camp coordinator were drafted and sent for the NNC approval. Pre-test and post-test training feedback will be compiled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2. </w:t>
      </w:r>
      <w:r w:rsidDel="00000000" w:rsidR="00000000" w:rsidRPr="00000000">
        <w:rPr>
          <w:rFonts w:ascii="Times New Roman" w:cs="Times New Roman" w:eastAsia="Times New Roman" w:hAnsi="Times New Roman"/>
          <w:rtl w:val="0"/>
        </w:rPr>
        <w:t xml:space="preserve">Update on the survey questionnaire  to understand the utilization and feedback from the nutrition partner on the adapted nutrition guidance package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survey questionnaire for the nutrition partner was drafted to collect feedback from the partners on the adapted nutrition guidance during the COVID-19 and the orientation session. Members are suggested to provide feedback on the questionnaire.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hanging="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Action Point- Ko Pyae will share the questionnaire to the SAG member and feedback is requested by COB Friday.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Once the questionnaire is final, it will be sent to the partners and given a week to respond.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3. </w:t>
      </w:r>
      <w:r w:rsidDel="00000000" w:rsidR="00000000" w:rsidRPr="00000000">
        <w:rPr>
          <w:rFonts w:ascii="Times New Roman" w:cs="Times New Roman" w:eastAsia="Times New Roman" w:hAnsi="Times New Roman"/>
          <w:rtl w:val="0"/>
        </w:rPr>
        <w:t xml:space="preserve">Updates on Nutrition sensitive guidance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nutrition-sensitive guidance note, a few comments from the global nutrition cluster have been received. Some are really valuable for example comment on the structure of the document but some need further discussion and clarification. Eg; GNC commented that some documents are not relevant to include as it is not related to COVID-19.  However, the SAG thinks that it is required for Myanmar and important for an advocacy point of view and wants to maintain it as it is.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Way Forward-Following actions are required.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Need to advocate other sectors such as food security, education sector, etc to include nutrition into their guidelines/guidance packages. For example, UNICEF shared regional guidance on nutrition in education guidance</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MS-NPAN core team is requested to develop an advocacy/policy brief (or position paper) to advocate other sectors by using the existing frameworks and documents. A small group of members can discuss and present to SAG</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Keep the document as it is and make it concise as we do not currently have guidance from other sectors and have put much effort already. Need to break up the annexes and share separately for the review then, come back together as part 2 of the guidance package.</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Likewise nutrition-specific guidance, the collection of feedback on how its operational usefulness from the partners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Topics on agriculture, food and social protection will be discussed in next week meeting.</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guidance package for nutrition-specific, simplified nutrition guidance for the camp coordinator and meal plan for the quarantine centres will be included in May version. Nutrition sensitive guidance will be integrated into the June version as part 2.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getting approval from the NNC, Dr Kyaw will share it with the partners.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Related to the SBCC component, Jecinter led the drafting and the reference is from both nutrition-specific and sensitive guidance packages. And the SBCC will be part three.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 MS-NPAN and SUN network updates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MS-NPAN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much update from the MS-NPAN core team as the details will be presented in the following meeting. Meeting minutes will be shared with the SAG.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SUN-Network</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The FBDG activities are resumed and it is one of the joint UN Network supported activities. The SUN UNN also shared the market monitor, Myanmar mVAM and the VAM will present to the SAG. As an update regarding Jecinter’s request to WFP’s VAM unit to join the next SAG meeting, VAM team is not available for the next week but they are available and willing to present at the SAG meeting a week after.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SUN Business Network conducted a survey with SMEs and the results were shared across the Extended UN Network.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AoB</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Expanded NIE meeting is planned to be organized on Monday to discuss the revision of HRP targets. It won’t be too long and SAG members are requested to join.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Two updates on C4D-1. The global guidance on IYCF counselling card and recommended practices during the context of COVID-19 was adapted and contextualized. Ko Pyae sent the MoHS review and approval. 2. The virtual community mobilization event for nutrition is planned in the second week of June 2020. In the campaign, the celebrities and social influencers will promote the different food groups and the nutrition key messages through their social media. Ko Pyae sent the concept note to the NNC for their review and guidance.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Next meeting-It was agreed to have it on Thursday at 2.00-3:30 pm.</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720"/>
        <w:rPr>
          <w:rFonts w:ascii="Times New Roman" w:cs="Times New Roman" w:eastAsia="Times New Roman" w:hAnsi="Times New Roman"/>
          <w:b w:val="1"/>
          <w:color w:val="0070c0"/>
        </w:rPr>
      </w:pPr>
      <w:r w:rsidDel="00000000" w:rsidR="00000000" w:rsidRPr="00000000">
        <w:rPr>
          <w:rFonts w:ascii="Times New Roman" w:cs="Times New Roman" w:eastAsia="Times New Roman" w:hAnsi="Times New Roman"/>
          <w:b w:val="1"/>
          <w:color w:val="000000"/>
          <w:u w:val="single"/>
          <w:rtl w:val="0"/>
        </w:rPr>
        <w:t xml:space="preserve">Participants</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748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
        <w:gridCol w:w="1699"/>
        <w:gridCol w:w="2201"/>
        <w:gridCol w:w="3070"/>
        <w:tblGridChange w:id="0">
          <w:tblGrid>
            <w:gridCol w:w="511"/>
            <w:gridCol w:w="1699"/>
            <w:gridCol w:w="2201"/>
            <w:gridCol w:w="3070"/>
          </w:tblGrid>
        </w:tblGridChange>
      </w:tblGrid>
      <w:tr>
        <w:trPr>
          <w:trHeight w:val="63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5">
            <w:pPr>
              <w:spacing w:before="240" w:lineRule="auto"/>
              <w:jc w:val="center"/>
              <w:rPr>
                <w:rFonts w:ascii="Times New Roman" w:cs="Times New Roman" w:eastAsia="Times New Roman" w:hAnsi="Times New Roman"/>
                <w:sz w:val="24"/>
                <w:szCs w:val="24"/>
              </w:rPr>
            </w:pPr>
            <w:r w:rsidDel="00000000" w:rsidR="00000000" w:rsidRPr="00000000">
              <w:rPr>
                <w:b w:val="1"/>
                <w:i w:val="1"/>
                <w:color w:val="000000"/>
                <w:rtl w:val="0"/>
              </w:rPr>
              <w:t xml:space="preserve">No </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6">
            <w:pPr>
              <w:spacing w:before="240" w:lineRule="auto"/>
              <w:jc w:val="center"/>
              <w:rPr>
                <w:rFonts w:ascii="Times New Roman" w:cs="Times New Roman" w:eastAsia="Times New Roman" w:hAnsi="Times New Roman"/>
                <w:sz w:val="24"/>
                <w:szCs w:val="24"/>
              </w:rPr>
            </w:pPr>
            <w:r w:rsidDel="00000000" w:rsidR="00000000" w:rsidRPr="00000000">
              <w:rPr>
                <w:b w:val="1"/>
                <w:i w:val="1"/>
                <w:color w:val="000000"/>
                <w:rtl w:val="0"/>
              </w:rPr>
              <w:t xml:space="preserve">Organisation</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7">
            <w:pPr>
              <w:spacing w:before="240" w:lineRule="auto"/>
              <w:jc w:val="center"/>
              <w:rPr>
                <w:rFonts w:ascii="Times New Roman" w:cs="Times New Roman" w:eastAsia="Times New Roman" w:hAnsi="Times New Roman"/>
                <w:sz w:val="24"/>
                <w:szCs w:val="24"/>
              </w:rPr>
            </w:pPr>
            <w:r w:rsidDel="00000000" w:rsidR="00000000" w:rsidRPr="00000000">
              <w:rPr>
                <w:b w:val="1"/>
                <w:i w:val="1"/>
                <w:color w:val="000000"/>
                <w:rtl w:val="0"/>
              </w:rPr>
              <w:t xml:space="preserve">Name of participant</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8">
            <w:pPr>
              <w:spacing w:before="240" w:lineRule="auto"/>
              <w:jc w:val="center"/>
              <w:rPr>
                <w:rFonts w:ascii="Times New Roman" w:cs="Times New Roman" w:eastAsia="Times New Roman" w:hAnsi="Times New Roman"/>
                <w:sz w:val="24"/>
                <w:szCs w:val="24"/>
              </w:rPr>
            </w:pPr>
            <w:r w:rsidDel="00000000" w:rsidR="00000000" w:rsidRPr="00000000">
              <w:rPr>
                <w:b w:val="1"/>
                <w:i w:val="1"/>
                <w:color w:val="000000"/>
                <w:rtl w:val="0"/>
              </w:rPr>
              <w:t xml:space="preserve">Email address</w:t>
            </w:r>
            <w:r w:rsidDel="00000000" w:rsidR="00000000" w:rsidRPr="00000000">
              <w:rPr>
                <w:rtl w:val="0"/>
              </w:rPr>
            </w:r>
          </w:p>
        </w:tc>
      </w:tr>
      <w:t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9">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1</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A">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LIFT</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B">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Nang Lyan Zar</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C">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nanglyanzar@unops.org</w:t>
            </w:r>
            <w:r w:rsidDel="00000000" w:rsidR="00000000" w:rsidRPr="00000000">
              <w:rPr>
                <w:rtl w:val="0"/>
              </w:rPr>
            </w:r>
          </w:p>
        </w:tc>
      </w:tr>
      <w:tr>
        <w:trPr>
          <w:trHeight w:val="77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D">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2</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E">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WFP</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4F">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Khin Khin Wint Aung</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0">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khinkhinwint.aung</w:t>
            </w:r>
            <w:r w:rsidDel="00000000" w:rsidR="00000000" w:rsidRPr="00000000">
              <w:rPr>
                <w:color w:val="000000"/>
                <w:rtl w:val="0"/>
              </w:rPr>
              <w:t xml:space="preserve">@wfp.org</w:t>
            </w:r>
            <w:r w:rsidDel="00000000" w:rsidR="00000000" w:rsidRPr="00000000">
              <w:rPr>
                <w:rtl w:val="0"/>
              </w:rPr>
            </w:r>
          </w:p>
        </w:tc>
      </w:tr>
      <w:tr>
        <w:trPr>
          <w:trHeight w:val="77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1">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3</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2">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WFP</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3">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Melody Muchimwe</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4">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melody.muchimwe@wfp.org</w:t>
            </w:r>
            <w:r w:rsidDel="00000000" w:rsidR="00000000" w:rsidRPr="00000000">
              <w:rPr>
                <w:rtl w:val="0"/>
              </w:rPr>
            </w:r>
          </w:p>
        </w:tc>
      </w:tr>
      <w:tr>
        <w:trPr>
          <w:trHeight w:val="77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5">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4</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6">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WFP</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7">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Fumito</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8">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fumito.morinaga@wfp.org</w:t>
            </w:r>
            <w:r w:rsidDel="00000000" w:rsidR="00000000" w:rsidRPr="00000000">
              <w:rPr>
                <w:rtl w:val="0"/>
              </w:rPr>
            </w:r>
          </w:p>
        </w:tc>
      </w:tr>
      <w:tr>
        <w:trPr>
          <w:trHeight w:val="76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9">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5</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A">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ACF</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B">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Dr Than Htut Aung</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C">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nuthod@mm-actioncontrelafaim.org</w:t>
            </w:r>
            <w:r w:rsidDel="00000000" w:rsidR="00000000" w:rsidRPr="00000000">
              <w:rPr>
                <w:rtl w:val="0"/>
              </w:rPr>
            </w:r>
          </w:p>
        </w:tc>
      </w:tr>
      <w:tr>
        <w:trPr>
          <w:trHeight w:val="58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D">
            <w:pPr>
              <w:spacing w:before="240" w:lineRule="auto"/>
              <w:jc w:val="both"/>
              <w:rPr>
                <w:color w:val="000000"/>
              </w:rPr>
            </w:pPr>
            <w:r w:rsidDel="00000000" w:rsidR="00000000" w:rsidRPr="00000000">
              <w:rPr>
                <w:color w:val="000000"/>
                <w:rtl w:val="0"/>
              </w:rPr>
              <w:t xml:space="preserve">6</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E">
            <w:pPr>
              <w:spacing w:before="240" w:lineRule="auto"/>
              <w:jc w:val="both"/>
              <w:rPr>
                <w:color w:val="000000"/>
              </w:rPr>
            </w:pPr>
            <w:r w:rsidDel="00000000" w:rsidR="00000000" w:rsidRPr="00000000">
              <w:rPr>
                <w:color w:val="000000"/>
                <w:rtl w:val="0"/>
              </w:rPr>
              <w:t xml:space="preserve">UNOPS </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5F">
            <w:pPr>
              <w:spacing w:before="240" w:lineRule="auto"/>
              <w:jc w:val="both"/>
              <w:rPr>
                <w:color w:val="000000"/>
              </w:rPr>
            </w:pPr>
            <w:r w:rsidDel="00000000" w:rsidR="00000000" w:rsidRPr="00000000">
              <w:rPr>
                <w:color w:val="000000"/>
                <w:rtl w:val="0"/>
              </w:rPr>
              <w:t xml:space="preserve">Jennie Hilton</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0">
            <w:pPr>
              <w:spacing w:before="240" w:lineRule="auto"/>
              <w:jc w:val="both"/>
              <w:rPr>
                <w:color w:val="000000"/>
              </w:rPr>
            </w:pPr>
            <w:r w:rsidDel="00000000" w:rsidR="00000000" w:rsidRPr="00000000">
              <w:rPr>
                <w:color w:val="000000"/>
                <w:rtl w:val="0"/>
              </w:rPr>
              <w:t xml:space="preserve">jennieh@unops.org</w:t>
            </w:r>
          </w:p>
        </w:tc>
      </w:tr>
      <w:tr>
        <w:trPr>
          <w:trHeight w:val="77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2">
            <w:pPr>
              <w:spacing w:before="240" w:lineRule="auto"/>
              <w:jc w:val="both"/>
              <w:rPr/>
            </w:pPr>
            <w:r w:rsidDel="00000000" w:rsidR="00000000" w:rsidRPr="00000000">
              <w:rPr>
                <w:rtl w:val="0"/>
              </w:rPr>
              <w:t xml:space="preserve">UNICEF</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3">
            <w:pPr>
              <w:spacing w:before="240" w:lineRule="auto"/>
              <w:jc w:val="both"/>
              <w:rPr/>
            </w:pPr>
            <w:r w:rsidDel="00000000" w:rsidR="00000000" w:rsidRPr="00000000">
              <w:rPr>
                <w:rtl w:val="0"/>
              </w:rPr>
              <w:t xml:space="preserve">Dr Kyaw Win Sein</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4">
            <w:pPr>
              <w:spacing w:before="240" w:lineRule="auto"/>
              <w:jc w:val="both"/>
              <w:rPr/>
            </w:pPr>
            <w:r w:rsidDel="00000000" w:rsidR="00000000" w:rsidRPr="00000000">
              <w:rPr>
                <w:rtl w:val="0"/>
              </w:rPr>
              <w:t xml:space="preserve">kwsein@unicef.org</w:t>
            </w:r>
            <w:r w:rsidDel="00000000" w:rsidR="00000000" w:rsidRPr="00000000">
              <w:rPr>
                <w:rtl w:val="0"/>
              </w:rPr>
            </w:r>
          </w:p>
        </w:tc>
      </w:tr>
      <w:tr>
        <w:trPr>
          <w:trHeight w:val="77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5">
            <w:pPr>
              <w:spacing w:before="240" w:lineRule="auto"/>
              <w:jc w:val="both"/>
              <w:rPr>
                <w:color w:val="000000"/>
              </w:rPr>
            </w:pPr>
            <w:r w:rsidDel="00000000" w:rsidR="00000000" w:rsidRPr="00000000">
              <w:rPr>
                <w:color w:val="000000"/>
                <w:rtl w:val="0"/>
              </w:rPr>
              <w:t xml:space="preserve">8</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6">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WHO</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7">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Dinesh Jeyakumaran</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8">
            <w:pPr>
              <w:spacing w:before="240" w:lineRule="auto"/>
              <w:jc w:val="both"/>
              <w:rPr/>
            </w:pPr>
            <w:r w:rsidDel="00000000" w:rsidR="00000000" w:rsidRPr="00000000">
              <w:rPr>
                <w:rtl w:val="0"/>
              </w:rPr>
              <w:t xml:space="preserve">jeyakumarand@who.int</w:t>
            </w:r>
          </w:p>
        </w:tc>
      </w:tr>
      <w:tr>
        <w:trPr>
          <w:trHeight w:val="60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9">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9</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A">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UN REACH</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B">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Soe Nyi Nyi</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C">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soe.nyinyi@wfp.org</w:t>
            </w:r>
            <w:r w:rsidDel="00000000" w:rsidR="00000000" w:rsidRPr="00000000">
              <w:rPr>
                <w:rtl w:val="0"/>
              </w:rPr>
            </w:r>
          </w:p>
        </w:tc>
      </w:tr>
      <w:tr>
        <w:trPr>
          <w:trHeight w:val="77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D">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10</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E">
            <w:pPr>
              <w:spacing w:before="240" w:lineRule="auto"/>
              <w:jc w:val="both"/>
              <w:rPr/>
            </w:pPr>
            <w:r w:rsidDel="00000000" w:rsidR="00000000" w:rsidRPr="00000000">
              <w:rPr>
                <w:rtl w:val="0"/>
              </w:rPr>
              <w:t xml:space="preserve">UNICEF</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6F">
            <w:pPr>
              <w:spacing w:before="240" w:lineRule="auto"/>
              <w:jc w:val="both"/>
              <w:rPr/>
            </w:pPr>
            <w:r w:rsidDel="00000000" w:rsidR="00000000" w:rsidRPr="00000000">
              <w:rPr>
                <w:rtl w:val="0"/>
              </w:rPr>
              <w:t xml:space="preserve">Jecinter</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0">
            <w:pPr>
              <w:spacing w:before="240" w:lineRule="auto"/>
              <w:jc w:val="both"/>
              <w:rPr/>
            </w:pPr>
            <w:r w:rsidDel="00000000" w:rsidR="00000000" w:rsidRPr="00000000">
              <w:rPr>
                <w:rtl w:val="0"/>
              </w:rPr>
              <w:t xml:space="preserve">jaoketch@unicef.org</w:t>
            </w:r>
          </w:p>
        </w:tc>
      </w:tr>
      <w:tr>
        <w:trPr>
          <w:trHeight w:val="72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1">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11</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2">
            <w:pPr>
              <w:spacing w:before="240" w:lineRule="auto"/>
              <w:jc w:val="both"/>
              <w:rPr/>
            </w:pPr>
            <w:r w:rsidDel="00000000" w:rsidR="00000000" w:rsidRPr="00000000">
              <w:rPr>
                <w:rtl w:val="0"/>
              </w:rPr>
              <w:t xml:space="preserve">UNICEF</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3">
            <w:pPr>
              <w:spacing w:before="240" w:lineRule="auto"/>
              <w:jc w:val="both"/>
              <w:rPr/>
            </w:pPr>
            <w:r w:rsidDel="00000000" w:rsidR="00000000" w:rsidRPr="00000000">
              <w:rPr>
                <w:rtl w:val="0"/>
              </w:rPr>
              <w:t xml:space="preserve">Win Lae</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4">
            <w:pPr>
              <w:spacing w:before="240" w:lineRule="auto"/>
              <w:jc w:val="both"/>
              <w:rPr/>
            </w:pPr>
            <w:r w:rsidDel="00000000" w:rsidR="00000000" w:rsidRPr="00000000">
              <w:rPr>
                <w:rtl w:val="0"/>
              </w:rPr>
              <w:t xml:space="preserve">wlae@unicef.org</w:t>
            </w:r>
          </w:p>
        </w:tc>
      </w:tr>
      <w:tr>
        <w:trPr>
          <w:trHeight w:val="72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5">
            <w:pPr>
              <w:spacing w:before="240" w:lineRule="auto"/>
              <w:jc w:val="both"/>
              <w:rPr>
                <w:color w:val="000000"/>
              </w:rPr>
            </w:pPr>
            <w:r w:rsidDel="00000000" w:rsidR="00000000" w:rsidRPr="00000000">
              <w:rPr>
                <w:color w:val="000000"/>
                <w:rtl w:val="0"/>
              </w:rPr>
              <w:t xml:space="preserve">12</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6">
            <w:pPr>
              <w:spacing w:before="240" w:lineRule="auto"/>
              <w:jc w:val="both"/>
              <w:rPr/>
            </w:pPr>
            <w:r w:rsidDel="00000000" w:rsidR="00000000" w:rsidRPr="00000000">
              <w:rPr>
                <w:rtl w:val="0"/>
              </w:rPr>
              <w:t xml:space="preserve">UNICEF</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7">
            <w:pPr>
              <w:spacing w:before="240" w:lineRule="auto"/>
              <w:jc w:val="both"/>
              <w:rPr/>
            </w:pPr>
            <w:r w:rsidDel="00000000" w:rsidR="00000000" w:rsidRPr="00000000">
              <w:rPr>
                <w:rtl w:val="0"/>
              </w:rPr>
              <w:t xml:space="preserve">Elin</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8">
            <w:pPr>
              <w:spacing w:before="240" w:lineRule="auto"/>
              <w:jc w:val="both"/>
              <w:rPr/>
            </w:pPr>
            <w:r w:rsidDel="00000000" w:rsidR="00000000" w:rsidRPr="00000000">
              <w:rPr>
                <w:rtl w:val="0"/>
              </w:rPr>
              <w:t xml:space="preserve">enilsson@unicef.org</w:t>
            </w:r>
          </w:p>
        </w:tc>
      </w:tr>
      <w:tr>
        <w:trPr>
          <w:trHeight w:val="72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9">
            <w:pPr>
              <w:spacing w:before="240" w:lineRule="auto"/>
              <w:jc w:val="both"/>
              <w:rPr>
                <w:color w:val="000000"/>
              </w:rPr>
            </w:pPr>
            <w:r w:rsidDel="00000000" w:rsidR="00000000" w:rsidRPr="00000000">
              <w:rPr>
                <w:color w:val="000000"/>
                <w:rtl w:val="0"/>
              </w:rPr>
              <w:t xml:space="preserve">13</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A">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UNICEF</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B">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Pyae Phyo Aung</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C">
            <w:pPr>
              <w:spacing w:before="240" w:lineRule="auto"/>
              <w:jc w:val="both"/>
              <w:rPr>
                <w:rFonts w:ascii="Times New Roman" w:cs="Times New Roman" w:eastAsia="Times New Roman" w:hAnsi="Times New Roman"/>
                <w:sz w:val="24"/>
                <w:szCs w:val="24"/>
              </w:rPr>
            </w:pPr>
            <w:r w:rsidDel="00000000" w:rsidR="00000000" w:rsidRPr="00000000">
              <w:rPr>
                <w:rtl w:val="0"/>
              </w:rPr>
              <w:t xml:space="preserve">paung@unicef.org</w:t>
            </w:r>
            <w:r w:rsidDel="00000000" w:rsidR="00000000" w:rsidRPr="00000000">
              <w:rPr>
                <w:rtl w:val="0"/>
              </w:rPr>
            </w:r>
          </w:p>
        </w:tc>
      </w:tr>
      <w:tr>
        <w:trPr>
          <w:trHeight w:val="720"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D">
            <w:pPr>
              <w:spacing w:before="240" w:lineRule="auto"/>
              <w:jc w:val="both"/>
              <w:rPr>
                <w:color w:val="000000"/>
              </w:rPr>
            </w:pPr>
            <w:r w:rsidDel="00000000" w:rsidR="00000000" w:rsidRPr="00000000">
              <w:rPr>
                <w:color w:val="000000"/>
                <w:rtl w:val="0"/>
              </w:rPr>
              <w:t xml:space="preserve">14</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E">
            <w:pPr>
              <w:spacing w:before="240" w:lineRule="auto"/>
              <w:jc w:val="both"/>
              <w:rPr/>
            </w:pPr>
            <w:r w:rsidDel="00000000" w:rsidR="00000000" w:rsidRPr="00000000">
              <w:rPr>
                <w:rtl w:val="0"/>
              </w:rPr>
              <w:t xml:space="preserve">UNICEF</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7F">
            <w:pPr>
              <w:spacing w:before="240" w:lineRule="auto"/>
              <w:jc w:val="both"/>
              <w:rPr/>
            </w:pPr>
            <w:r w:rsidDel="00000000" w:rsidR="00000000" w:rsidRPr="00000000">
              <w:rPr>
                <w:rtl w:val="0"/>
              </w:rPr>
              <w:t xml:space="preserve">Hedy IP</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0">
            <w:pPr>
              <w:spacing w:before="240" w:lineRule="auto"/>
              <w:jc w:val="both"/>
              <w:rPr/>
            </w:pPr>
            <w:hyperlink r:id="rId6">
              <w:r w:rsidDel="00000000" w:rsidR="00000000" w:rsidRPr="00000000">
                <w:rPr>
                  <w:color w:val="0000ff"/>
                  <w:u w:val="single"/>
                  <w:rtl w:val="0"/>
                </w:rPr>
                <w:t xml:space="preserve">hip@unicef.org</w:t>
              </w:r>
            </w:hyperlink>
            <w:r w:rsidDel="00000000" w:rsidR="00000000" w:rsidRPr="00000000">
              <w:rPr>
                <w:rtl w:val="0"/>
              </w:rPr>
            </w:r>
          </w:p>
        </w:tc>
      </w:tr>
      <w:tr>
        <w:trPr>
          <w:trHeight w:val="61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1">
            <w:pPr>
              <w:spacing w:before="240" w:lineRule="auto"/>
              <w:jc w:val="both"/>
              <w:rPr>
                <w:rFonts w:ascii="Times New Roman" w:cs="Times New Roman" w:eastAsia="Times New Roman" w:hAnsi="Times New Roman"/>
                <w:sz w:val="24"/>
                <w:szCs w:val="24"/>
              </w:rPr>
            </w:pPr>
            <w:r w:rsidDel="00000000" w:rsidR="00000000" w:rsidRPr="00000000">
              <w:rPr>
                <w:color w:val="000000"/>
                <w:rtl w:val="0"/>
              </w:rPr>
              <w:t xml:space="preserve">15</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2">
            <w:pPr>
              <w:spacing w:before="240" w:lineRule="auto"/>
              <w:jc w:val="both"/>
              <w:rPr/>
            </w:pPr>
            <w:r w:rsidDel="00000000" w:rsidR="00000000" w:rsidRPr="00000000">
              <w:rPr>
                <w:rtl w:val="0"/>
              </w:rPr>
              <w:t xml:space="preserve">MS-NPAN Core Team</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3">
            <w:pPr>
              <w:spacing w:before="240" w:lineRule="auto"/>
              <w:jc w:val="both"/>
              <w:rPr/>
            </w:pPr>
            <w:r w:rsidDel="00000000" w:rsidR="00000000" w:rsidRPr="00000000">
              <w:rPr>
                <w:rtl w:val="0"/>
              </w:rPr>
              <w:t xml:space="preserve">Jonathan Gorstein</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4">
            <w:pPr>
              <w:spacing w:before="240" w:lineRule="auto"/>
              <w:jc w:val="both"/>
              <w:rPr/>
            </w:pPr>
            <w:r w:rsidDel="00000000" w:rsidR="00000000" w:rsidRPr="00000000">
              <w:rPr>
                <w:rtl w:val="0"/>
              </w:rPr>
              <w:t xml:space="preserve">jgorstein@sajilosolutions.org</w:t>
            </w:r>
          </w:p>
        </w:tc>
      </w:tr>
      <w:tr>
        <w:trPr>
          <w:trHeight w:val="79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5">
            <w:pPr>
              <w:spacing w:before="240" w:lineRule="auto"/>
              <w:jc w:val="both"/>
              <w:rPr>
                <w:color w:val="000000"/>
              </w:rPr>
            </w:pPr>
            <w:r w:rsidDel="00000000" w:rsidR="00000000" w:rsidRPr="00000000">
              <w:rPr>
                <w:color w:val="000000"/>
                <w:rtl w:val="0"/>
              </w:rPr>
              <w:t xml:space="preserve">16</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6">
            <w:pPr>
              <w:spacing w:before="240" w:lineRule="auto"/>
              <w:jc w:val="both"/>
              <w:rPr/>
            </w:pPr>
            <w:r w:rsidDel="00000000" w:rsidR="00000000" w:rsidRPr="00000000">
              <w:rPr>
                <w:rtl w:val="0"/>
              </w:rPr>
              <w:t xml:space="preserve">MS-NPAN Core Team</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7">
            <w:pPr>
              <w:spacing w:before="240" w:lineRule="auto"/>
              <w:jc w:val="both"/>
              <w:rPr/>
            </w:pPr>
            <w:r w:rsidDel="00000000" w:rsidR="00000000" w:rsidRPr="00000000">
              <w:rPr>
                <w:rtl w:val="0"/>
              </w:rPr>
              <w:t xml:space="preserve">Dr San San Myint</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8">
            <w:pPr>
              <w:spacing w:before="240" w:lineRule="auto"/>
              <w:jc w:val="both"/>
              <w:rPr/>
            </w:pPr>
            <w:hyperlink r:id="rId7">
              <w:r w:rsidDel="00000000" w:rsidR="00000000" w:rsidRPr="00000000">
                <w:rPr>
                  <w:color w:val="0000ff"/>
                  <w:u w:val="single"/>
                  <w:rtl w:val="0"/>
                </w:rPr>
                <w:t xml:space="preserve">sansanm@unops.org</w:t>
              </w:r>
            </w:hyperlink>
            <w:r w:rsidDel="00000000" w:rsidR="00000000" w:rsidRPr="00000000">
              <w:rPr>
                <w:rtl w:val="0"/>
              </w:rPr>
            </w:r>
          </w:p>
        </w:tc>
      </w:tr>
      <w:tr>
        <w:trPr>
          <w:trHeight w:val="79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9">
            <w:pPr>
              <w:spacing w:before="240" w:lineRule="auto"/>
              <w:jc w:val="both"/>
              <w:rPr>
                <w:color w:val="000000"/>
              </w:rPr>
            </w:pPr>
            <w:r w:rsidDel="00000000" w:rsidR="00000000" w:rsidRPr="00000000">
              <w:rPr>
                <w:rtl w:val="0"/>
              </w:rPr>
              <w:t xml:space="preserve">17</w:t>
            </w:r>
            <w:r w:rsidDel="00000000" w:rsidR="00000000" w:rsidRPr="00000000">
              <w:rPr>
                <w:rtl w:val="0"/>
              </w:rPr>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A">
            <w:pPr>
              <w:spacing w:before="240" w:lineRule="auto"/>
              <w:jc w:val="both"/>
              <w:rPr/>
            </w:pPr>
            <w:r w:rsidDel="00000000" w:rsidR="00000000" w:rsidRPr="00000000">
              <w:rPr>
                <w:rtl w:val="0"/>
              </w:rPr>
              <w:t xml:space="preserve">SCI</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B">
            <w:pPr>
              <w:spacing w:before="240" w:lineRule="auto"/>
              <w:jc w:val="both"/>
              <w:rPr/>
            </w:pPr>
            <w:r w:rsidDel="00000000" w:rsidR="00000000" w:rsidRPr="00000000">
              <w:rPr>
                <w:rtl w:val="0"/>
              </w:rPr>
              <w:t xml:space="preserve">Swe Lin Maung</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C">
            <w:pPr>
              <w:spacing w:before="240" w:lineRule="auto"/>
              <w:jc w:val="both"/>
              <w:rPr/>
            </w:pPr>
            <w:r w:rsidDel="00000000" w:rsidR="00000000" w:rsidRPr="00000000">
              <w:rPr>
                <w:rtl w:val="0"/>
              </w:rPr>
              <w:t xml:space="preserve">SweLinn.Maung@savethechildren.org</w:t>
            </w:r>
          </w:p>
        </w:tc>
      </w:tr>
      <w:tr>
        <w:trPr>
          <w:trHeight w:val="79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D">
            <w:pPr>
              <w:spacing w:before="240" w:lineRule="auto"/>
              <w:jc w:val="both"/>
              <w:rPr/>
            </w:pPr>
            <w:r w:rsidDel="00000000" w:rsidR="00000000" w:rsidRPr="00000000">
              <w:rPr>
                <w:rtl w:val="0"/>
              </w:rPr>
              <w:t xml:space="preserve">18</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E">
            <w:pPr>
              <w:spacing w:before="240" w:lineRule="auto"/>
              <w:jc w:val="both"/>
              <w:rPr/>
            </w:pPr>
            <w:r w:rsidDel="00000000" w:rsidR="00000000" w:rsidRPr="00000000">
              <w:rPr>
                <w:rtl w:val="0"/>
              </w:rPr>
              <w:t xml:space="preserve">FAO</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8F">
            <w:pPr>
              <w:spacing w:before="240" w:lineRule="auto"/>
              <w:jc w:val="both"/>
              <w:rPr/>
            </w:pPr>
            <w:r w:rsidDel="00000000" w:rsidR="00000000" w:rsidRPr="00000000">
              <w:rPr>
                <w:rtl w:val="0"/>
              </w:rPr>
              <w:t xml:space="preserve"> Anna-Lisa Noack</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90">
            <w:pPr>
              <w:spacing w:before="240" w:lineRule="auto"/>
              <w:jc w:val="both"/>
              <w:rPr/>
            </w:pPr>
            <w:hyperlink r:id="rId8">
              <w:r w:rsidDel="00000000" w:rsidR="00000000" w:rsidRPr="00000000">
                <w:rPr>
                  <w:color w:val="1155cc"/>
                  <w:u w:val="single"/>
                  <w:rtl w:val="0"/>
                </w:rPr>
                <w:t xml:space="preserve">annalisa.noack@fao.org</w:t>
              </w:r>
            </w:hyperlink>
            <w:r w:rsidDel="00000000" w:rsidR="00000000" w:rsidRPr="00000000">
              <w:rPr>
                <w:rtl w:val="0"/>
              </w:rPr>
              <w:t xml:space="preserve"> </w:t>
            </w:r>
            <w:r w:rsidDel="00000000" w:rsidR="00000000" w:rsidRPr="00000000">
              <w:rPr>
                <w:rtl w:val="0"/>
              </w:rPr>
            </w:r>
          </w:p>
        </w:tc>
      </w:tr>
      <w:tr>
        <w:trPr>
          <w:trHeight w:val="795" w:hRule="atLeast"/>
        </w:trPr>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91">
            <w:pPr>
              <w:spacing w:before="240" w:lineRule="auto"/>
              <w:jc w:val="both"/>
              <w:rPr/>
            </w:pPr>
            <w:r w:rsidDel="00000000" w:rsidR="00000000" w:rsidRPr="00000000">
              <w:rPr>
                <w:rtl w:val="0"/>
              </w:rPr>
              <w:t xml:space="preserve">19</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92">
            <w:pPr>
              <w:spacing w:before="240" w:lineRule="auto"/>
              <w:jc w:val="both"/>
              <w:rPr/>
            </w:pPr>
            <w:r w:rsidDel="00000000" w:rsidR="00000000" w:rsidRPr="00000000">
              <w:rPr>
                <w:rtl w:val="0"/>
              </w:rPr>
              <w:t xml:space="preserve">MS-NPAN core team</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93">
            <w:pPr>
              <w:spacing w:before="240" w:lineRule="auto"/>
              <w:jc w:val="both"/>
              <w:rPr/>
            </w:pPr>
            <w:r w:rsidDel="00000000" w:rsidR="00000000" w:rsidRPr="00000000">
              <w:rPr>
                <w:rtl w:val="0"/>
              </w:rPr>
              <w:t xml:space="preserve">Dr Ye Naing Win</w:t>
            </w:r>
          </w:p>
        </w:tc>
        <w:tc>
          <w:tcPr>
            <w:tcBorders>
              <w:top w:color="0070c0" w:space="0" w:sz="8" w:val="single"/>
              <w:left w:color="0070c0" w:space="0" w:sz="8" w:val="single"/>
              <w:bottom w:color="0070c0" w:space="0" w:sz="8" w:val="single"/>
              <w:right w:color="0070c0" w:space="0" w:sz="8" w:val="single"/>
            </w:tcBorders>
            <w:tcMar>
              <w:top w:w="100.0" w:type="dxa"/>
              <w:left w:w="100.0" w:type="dxa"/>
              <w:bottom w:w="100.0" w:type="dxa"/>
              <w:right w:w="100.0" w:type="dxa"/>
            </w:tcMar>
          </w:tcPr>
          <w:p w:rsidR="00000000" w:rsidDel="00000000" w:rsidP="00000000" w:rsidRDefault="00000000" w:rsidRPr="00000000" w14:paraId="00000094">
            <w:pPr>
              <w:spacing w:before="240" w:lineRule="auto"/>
              <w:jc w:val="both"/>
              <w:rPr/>
            </w:pPr>
            <w:r w:rsidDel="00000000" w:rsidR="00000000" w:rsidRPr="00000000">
              <w:rPr>
                <w:rtl w:val="0"/>
              </w:rPr>
              <w:t xml:space="preserve">thomaswang87@gmail.com</w:t>
            </w:r>
          </w:p>
        </w:tc>
      </w:tr>
    </w:tbl>
    <w:p w:rsidR="00000000" w:rsidDel="00000000" w:rsidP="00000000" w:rsidRDefault="00000000" w:rsidRPr="00000000" w14:paraId="00000095">
      <w:pPr>
        <w:rPr>
          <w:rFonts w:ascii="Times New Roman" w:cs="Times New Roman" w:eastAsia="Times New Roman" w:hAnsi="Times New Roman"/>
          <w:b w:val="1"/>
          <w:color w:val="0070c0"/>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color w:val="0070c0"/>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color w:val="0070c0"/>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b w:val="1"/>
          <w:color w:val="548dd4"/>
          <w:u w:val="single"/>
        </w:rPr>
      </w:pPr>
      <w:r w:rsidDel="00000000" w:rsidR="00000000" w:rsidRPr="00000000">
        <w:rPr>
          <w:rtl w:val="0"/>
        </w:rPr>
      </w:r>
    </w:p>
    <w:sectPr>
      <w:headerReference r:id="rId9" w:type="default"/>
      <w:footerReference r:id="rId10" w:type="default"/>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Rule="auto"/>
      <w:rPr>
        <w:color w:val="000000"/>
        <w:sz w:val="2"/>
        <w:szCs w:val="2"/>
      </w:rPr>
    </w:pPr>
    <w:r w:rsidDel="00000000" w:rsidR="00000000" w:rsidRPr="00000000">
      <w:rPr>
        <w:rtl w:val="0"/>
      </w:rPr>
    </w:r>
  </w:p>
  <w:tbl>
    <w:tblPr>
      <w:tblStyle w:val="Table3"/>
      <w:tblW w:w="9026.0" w:type="dxa"/>
      <w:jc w:val="left"/>
      <w:tblInd w:w="0.0" w:type="dxa"/>
      <w:tblBorders>
        <w:top w:color="0070c0" w:space="0" w:sz="12"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5"/>
      <w:gridCol w:w="4521"/>
      <w:tblGridChange w:id="0">
        <w:tblGrid>
          <w:gridCol w:w="4505"/>
          <w:gridCol w:w="4521"/>
        </w:tblGrid>
      </w:tblGridChange>
    </w:tblGrid>
    <w:tr>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680"/>
              <w:tab w:val="right" w:pos="9360"/>
            </w:tabs>
            <w:rPr>
              <w:color w:val="1f497d"/>
              <w:sz w:val="20"/>
              <w:szCs w:val="20"/>
            </w:rPr>
          </w:pPr>
          <w:r w:rsidDel="00000000" w:rsidR="00000000" w:rsidRPr="00000000">
            <w:rPr>
              <w:color w:val="1f497d"/>
              <w:sz w:val="20"/>
              <w:szCs w:val="20"/>
              <w:rtl w:val="0"/>
            </w:rPr>
            <w:t xml:space="preserve">NIE_SAG Meeting minutes</w:t>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680"/>
              <w:tab w:val="right" w:pos="9360"/>
            </w:tabs>
            <w:rPr>
              <w:color w:val="1f497d"/>
              <w:sz w:val="20"/>
              <w:szCs w:val="20"/>
            </w:rPr>
          </w:pPr>
          <w:r w:rsidDel="00000000" w:rsidR="00000000" w:rsidRPr="00000000">
            <w:rPr>
              <w:color w:val="1f497d"/>
              <w:sz w:val="20"/>
              <w:szCs w:val="20"/>
              <w:rtl w:val="0"/>
            </w:rPr>
            <w:t xml:space="preserve">                                          </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680"/>
              <w:tab w:val="right" w:pos="9360"/>
            </w:tabs>
            <w:jc w:val="right"/>
            <w:rPr>
              <w:color w:val="1f497d"/>
              <w:sz w:val="20"/>
              <w:szCs w:val="20"/>
            </w:rPr>
          </w:pPr>
          <w:r w:rsidDel="00000000" w:rsidR="00000000" w:rsidRPr="00000000">
            <w:rPr>
              <w:color w:val="1f497d"/>
              <w:sz w:val="20"/>
              <w:szCs w:val="20"/>
              <w:rtl w:val="0"/>
            </w:rPr>
            <w:t xml:space="preserve">Page </w:t>
          </w:r>
          <w:r w:rsidDel="00000000" w:rsidR="00000000" w:rsidRPr="00000000">
            <w:rPr>
              <w:color w:val="1f497d"/>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680"/>
              <w:tab w:val="right" w:pos="9360"/>
            </w:tabs>
            <w:rPr>
              <w:color w:val="1f497d"/>
              <w:sz w:val="20"/>
              <w:szCs w:val="20"/>
            </w:rPr>
          </w:pPr>
          <w:r w:rsidDel="00000000" w:rsidR="00000000" w:rsidRPr="00000000">
            <w:rPr>
              <w:rtl w:val="0"/>
            </w:rPr>
          </w:r>
        </w:p>
      </w:tc>
    </w:tr>
  </w:tb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color w:val="548dd4"/>
        <w:u w:val="single"/>
      </w:rPr>
    </w:pPr>
    <w:r w:rsidDel="00000000" w:rsidR="00000000" w:rsidRPr="00000000">
      <w:rPr>
        <w:rtl w:val="0"/>
      </w:rPr>
    </w:r>
  </w:p>
  <w:tbl>
    <w:tblPr>
      <w:tblStyle w:val="Table2"/>
      <w:tblW w:w="9026.0" w:type="dxa"/>
      <w:jc w:val="left"/>
      <w:tblInd w:w="0.0" w:type="dxa"/>
      <w:tblBorders>
        <w:top w:color="000000" w:space="0" w:sz="0" w:val="nil"/>
        <w:left w:color="000000" w:space="0" w:sz="0" w:val="nil"/>
        <w:bottom w:color="0070c0" w:space="0" w:sz="12" w:val="single"/>
        <w:right w:color="000000" w:space="0" w:sz="0" w:val="nil"/>
        <w:insideH w:color="000000" w:space="0" w:sz="0" w:val="nil"/>
        <w:insideV w:color="000000" w:space="0" w:sz="0" w:val="nil"/>
      </w:tblBorders>
      <w:tblLayout w:type="fixed"/>
      <w:tblLook w:val="0400"/>
    </w:tblPr>
    <w:tblGrid>
      <w:gridCol w:w="2344"/>
      <w:gridCol w:w="2346"/>
      <w:gridCol w:w="4336"/>
      <w:tblGridChange w:id="0">
        <w:tblGrid>
          <w:gridCol w:w="2344"/>
          <w:gridCol w:w="2346"/>
          <w:gridCol w:w="4336"/>
        </w:tblGrid>
      </w:tblGridChange>
    </w:tblGrid>
    <w:tr>
      <w:trPr>
        <w:trHeight w:val="1005" w:hRule="atLeast"/>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pos="4680"/>
              <w:tab w:val="right" w:pos="9360"/>
            </w:tabs>
            <w:rPr>
              <w:b w:val="1"/>
              <w:color w:val="1f497d"/>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770"/>
            </w:tabs>
            <w:jc w:val="right"/>
            <w:rPr>
              <w:color w:val="1f497d"/>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pos="4770"/>
            </w:tabs>
            <w:jc w:val="right"/>
            <w:rPr>
              <w:color w:val="1f497d"/>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680"/>
              <w:tab w:val="right" w:pos="9360"/>
            </w:tabs>
            <w:rPr>
              <w:color w:val="1f497d"/>
              <w:sz w:val="2"/>
              <w:szCs w:val="2"/>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680"/>
              <w:tab w:val="right" w:pos="9360"/>
            </w:tabs>
            <w:ind w:left="86" w:firstLine="0"/>
            <w:rPr>
              <w:b w:val="1"/>
              <w:color w:val="1f497d"/>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680"/>
              <w:tab w:val="right" w:pos="9360"/>
            </w:tabs>
            <w:ind w:left="3600" w:firstLine="0"/>
            <w:rPr>
              <w:color w:val="1f497d"/>
            </w:rPr>
          </w:pPr>
          <w:r w:rsidDel="00000000" w:rsidR="00000000" w:rsidRPr="00000000">
            <w:rPr>
              <w:color w:val="000000"/>
            </w:rPr>
            <w:drawing>
              <wp:inline distB="0" distT="0" distL="0" distR="0">
                <wp:extent cx="336901" cy="40205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6901" cy="40205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beef3"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beef3"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beef3"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hip@unicef.org" TargetMode="External"/><Relationship Id="rId7" Type="http://schemas.openxmlformats.org/officeDocument/2006/relationships/hyperlink" Target="mailto:sansanm@unops.org" TargetMode="External"/><Relationship Id="rId8" Type="http://schemas.openxmlformats.org/officeDocument/2006/relationships/hyperlink" Target="mailto:annalisa.noack@fa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