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jc w:val="center"/>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Nutrition in Emergency (NiE) SAG meeting, Myanmar</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Zoom meeting, 24 April 2020, 11:30-13:00</w:t>
      </w:r>
    </w:p>
    <w:p w:rsidR="00000000" w:rsidDel="00000000" w:rsidP="00000000" w:rsidRDefault="00000000" w:rsidRPr="00000000" w14:paraId="00000003">
      <w:pPr>
        <w:pStyle w:val="Heading1"/>
        <w:spacing w:after="120" w:line="240" w:lineRule="auto"/>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Meeting minutes</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Chair</w:t>
      </w:r>
      <w:r w:rsidDel="00000000" w:rsidR="00000000" w:rsidRPr="00000000">
        <w:rPr>
          <w:rFonts w:ascii="Times New Roman" w:cs="Times New Roman" w:eastAsia="Times New Roman" w:hAnsi="Times New Roman"/>
          <w:rtl w:val="0"/>
        </w:rPr>
        <w:t xml:space="preserve">: UNICEF on behalf of the nutrition sector</w:t>
      </w:r>
    </w:p>
    <w:p w:rsidR="00000000" w:rsidDel="00000000" w:rsidP="00000000" w:rsidRDefault="00000000" w:rsidRPr="00000000" w14:paraId="00000005">
      <w:pPr>
        <w:pStyle w:val="Heading2"/>
        <w:spacing w:line="240" w:lineRule="auto"/>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Agenda</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Updates on virtual training and orientation guidance note package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Update on reader-friendly technical guidance package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Nutrition C4D Key messages</w:t>
      </w:r>
    </w:p>
    <w:p w:rsidR="00000000" w:rsidDel="00000000" w:rsidP="00000000" w:rsidRDefault="00000000" w:rsidRPr="00000000" w14:paraId="0000000A">
      <w:pPr>
        <w:numPr>
          <w:ilvl w:val="0"/>
          <w:numId w:val="1"/>
        </w:numPr>
        <w:spacing w:after="0" w:lineRule="auto"/>
        <w:ind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Updates on Supply table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Business (AOB)</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Discussion Note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w:t>
        <w:tab/>
      </w:r>
      <w:r w:rsidDel="00000000" w:rsidR="00000000" w:rsidRPr="00000000">
        <w:rPr>
          <w:rFonts w:ascii="Times New Roman" w:cs="Times New Roman" w:eastAsia="Times New Roman" w:hAnsi="Times New Roman"/>
          <w:rtl w:val="0"/>
        </w:rPr>
        <w:t xml:space="preserve">Updates on virtual training and orientation guidance note package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 shared the guidance note and registration link for the virtual orientation training next week to NIE partners and 117 participants from different partners registered. The Zoom link was also shared to those who registered.</w:t>
      </w:r>
    </w:p>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tab/>
      </w:r>
      <w:r w:rsidDel="00000000" w:rsidR="00000000" w:rsidRPr="00000000">
        <w:rPr>
          <w:rFonts w:ascii="Times New Roman" w:cs="Times New Roman" w:eastAsia="Times New Roman" w:hAnsi="Times New Roman"/>
          <w:rtl w:val="0"/>
        </w:rPr>
        <w:t xml:space="preserve">Update on reader-friendly technical guidance package</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support of UNOPS, the reader-friendly guidance note was uploaded in Google Drive and feedback from partners are requested. Ko Pyae shared the comments from UNICEF and get consensus with the partners.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Agreed action point as below.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Jennie-To add a paragraph about describing the integration of both nutrition sensitive and specific things.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KWS-To revise the current Annex 4-How to use BMS and add a few lines to avoid misleading of BMS usage.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Dinesh-To share the final package of food basket as a separate Annex. In the annex, two different lines for sugar and salt should be applied as per global guidance.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tab/>
      </w:r>
      <w:r w:rsidDel="00000000" w:rsidR="00000000" w:rsidRPr="00000000">
        <w:rPr>
          <w:rFonts w:ascii="Times New Roman" w:cs="Times New Roman" w:eastAsia="Times New Roman" w:hAnsi="Times New Roman"/>
          <w:rtl w:val="0"/>
        </w:rPr>
        <w:t xml:space="preserve">Nutrition C4D Key messages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MoHS shared the final approved key messages which is a total four pages document and combination of MRH, CHD and Nutrition, to UNICEF and UNICEF C4D team will work with design agencies for developing communication materials. The estimated timeline is as below.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tl w:val="0"/>
        </w:rPr>
      </w:r>
    </w:p>
    <w:tbl>
      <w:tblPr>
        <w:tblStyle w:val="Table1"/>
        <w:tblW w:w="94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425"/>
        <w:gridCol w:w="1335"/>
        <w:gridCol w:w="1380"/>
        <w:gridCol w:w="1065"/>
        <w:gridCol w:w="1155"/>
        <w:gridCol w:w="2610"/>
        <w:tblGridChange w:id="0">
          <w:tblGrid>
            <w:gridCol w:w="525"/>
            <w:gridCol w:w="1425"/>
            <w:gridCol w:w="1335"/>
            <w:gridCol w:w="1380"/>
            <w:gridCol w:w="1065"/>
            <w:gridCol w:w="1155"/>
            <w:gridCol w:w="2610"/>
          </w:tblGrid>
        </w:tblGridChange>
      </w:tblGrid>
      <w:tr>
        <w:trPr>
          <w:trHeight w:val="6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Format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Cost implication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Timeline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Modality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Remark</w:t>
            </w:r>
          </w:p>
        </w:tc>
      </w:tr>
      <w:tr>
        <w:trPr>
          <w:trHeight w:val="15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messages (MNCH + Nutrition)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Radio (PSA, interview, story)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week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approval required. Can start with the messages we have (pdf). Impossible for branding.</w:t>
            </w:r>
          </w:p>
        </w:tc>
      </w:tr>
      <w:tr>
        <w:trPr>
          <w:trHeight w:val="18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Messages in Q&amp;A format (MNCH + Nutrition)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Viral video (with a celebrity mom/dad)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FOC or 3000-6000 based on the approach we use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weeks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APC/Contract (event or amend SCI PCA)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approval required if it’s viral video. Difficult to do branding. Can start with the messages we have (pdf).</w:t>
            </w:r>
          </w:p>
        </w:tc>
      </w:tr>
      <w:tr>
        <w:trPr>
          <w:trHeight w:val="9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 messages on MNCH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TVC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weeks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Contract Video Team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Must submit to MOHS for approval</w:t>
            </w:r>
          </w:p>
        </w:tc>
      </w:tr>
      <w:tr>
        <w:trPr>
          <w:trHeight w:val="9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 Messages on Nutrition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TVC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weeks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Contract Video Team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Must submit to MOHS for approval</w:t>
            </w:r>
          </w:p>
        </w:tc>
      </w:tr>
      <w:tr>
        <w:trPr>
          <w:trHeight w:val="15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Messages in Q&amp;A format (MNCH + Nutrition)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A3 (2 folds) pamphlet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 (for graphic design)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weeks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Must submit to MOHS for approval. Distribution through MCCT and RHC/SC.</w:t>
            </w:r>
          </w:p>
        </w:tc>
      </w:tr>
      <w:tr>
        <w:trPr>
          <w:trHeight w:val="20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message with One illustration (MNCH + Nutrition)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Digital/FB (square shape)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 (for graphic design)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weeks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Must submit to MOHS for approval. Dissemination through Facebook pages of MOHS, DOPH, NNC, UNICEF and IPs</w:t>
            </w:r>
          </w:p>
        </w:tc>
      </w:tr>
      <w:tr>
        <w:trPr>
          <w:trHeight w:val="114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key messages (MNCH + Nutrition)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Megaphone/ Miking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weeks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Coordination with SHD/GAD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 start with summary of the approved messages</w:t>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tab/>
      </w:r>
      <w:r w:rsidDel="00000000" w:rsidR="00000000" w:rsidRPr="00000000">
        <w:rPr>
          <w:rFonts w:ascii="Times New Roman" w:cs="Times New Roman" w:eastAsia="Times New Roman" w:hAnsi="Times New Roman"/>
          <w:rtl w:val="0"/>
        </w:rPr>
        <w:t xml:space="preserve">Updates on Supply table</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 received the updated supply table from the WFP and ACCESS, Some discrepancy was found in the table as a different unit for RUSF was used between UNOPS and WFP. Fumito will fix and update accordingly.</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also suggested to add current stock and expected pipeline. The target for HRP does not include the current CVOID-19 targets.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tab/>
      </w:r>
      <w:r w:rsidDel="00000000" w:rsidR="00000000" w:rsidRPr="00000000">
        <w:rPr>
          <w:rFonts w:ascii="Times New Roman" w:cs="Times New Roman" w:eastAsia="Times New Roman" w:hAnsi="Times New Roman"/>
          <w:rtl w:val="0"/>
        </w:rPr>
        <w:t xml:space="preserve">AOB  </w:t>
      </w:r>
      <w:r w:rsidDel="00000000" w:rsidR="00000000" w:rsidRPr="00000000">
        <w:rPr>
          <w:rtl w:val="0"/>
        </w:rPr>
      </w:r>
    </w:p>
    <w:p w:rsidR="00000000" w:rsidDel="00000000" w:rsidP="00000000" w:rsidRDefault="00000000" w:rsidRPr="00000000" w14:paraId="00000067">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numPr>
          <w:ilvl w:val="0"/>
          <w:numId w:val="2"/>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IYCF Hotline</w:t>
      </w:r>
      <w:r w:rsidDel="00000000" w:rsidR="00000000" w:rsidRPr="00000000">
        <w:rPr>
          <w:rFonts w:ascii="Times New Roman" w:cs="Times New Roman" w:eastAsia="Times New Roman" w:hAnsi="Times New Roman"/>
          <w:rtl w:val="0"/>
        </w:rPr>
        <w:t xml:space="preserve">-UNICEF will open the discussion with MoHS in the coming week.</w:t>
      </w:r>
    </w:p>
    <w:p w:rsidR="00000000" w:rsidDel="00000000" w:rsidP="00000000" w:rsidRDefault="00000000" w:rsidRPr="00000000" w14:paraId="00000069">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numPr>
          <w:ilvl w:val="0"/>
          <w:numId w:val="2"/>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UNICEF, ACCESS and LIFT will discuss </w:t>
      </w:r>
      <w:r w:rsidDel="00000000" w:rsidR="00000000" w:rsidRPr="00000000">
        <w:rPr>
          <w:rFonts w:ascii="Times New Roman" w:cs="Times New Roman" w:eastAsia="Times New Roman" w:hAnsi="Times New Roman"/>
          <w:b w:val="1"/>
          <w:rtl w:val="0"/>
        </w:rPr>
        <w:t xml:space="preserve">operationalization of nutrition COVI-19 response</w:t>
      </w:r>
      <w:r w:rsidDel="00000000" w:rsidR="00000000" w:rsidRPr="00000000">
        <w:rPr>
          <w:rFonts w:ascii="Times New Roman" w:cs="Times New Roman" w:eastAsia="Times New Roman" w:hAnsi="Times New Roman"/>
          <w:rtl w:val="0"/>
        </w:rPr>
        <w:t xml:space="preserve"> next week and will update to SAG after the meeting.</w:t>
      </w:r>
    </w:p>
    <w:p w:rsidR="00000000" w:rsidDel="00000000" w:rsidP="00000000" w:rsidRDefault="00000000" w:rsidRPr="00000000" w14:paraId="0000006B">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numPr>
          <w:ilvl w:val="0"/>
          <w:numId w:val="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Mapping</w:t>
      </w:r>
      <w:r w:rsidDel="00000000" w:rsidR="00000000" w:rsidRPr="00000000">
        <w:rPr>
          <w:rFonts w:ascii="Times New Roman" w:cs="Times New Roman" w:eastAsia="Times New Roman" w:hAnsi="Times New Roman"/>
          <w:rtl w:val="0"/>
        </w:rPr>
        <w:t xml:space="preserve">-It was saved in the folder and partners are requested to review it. After meeting with ACCESS and LIFT and other potential partners, UNICEF will share the updated mapping to the SAG.</w:t>
      </w:r>
    </w:p>
    <w:p w:rsidR="00000000" w:rsidDel="00000000" w:rsidP="00000000" w:rsidRDefault="00000000" w:rsidRPr="00000000" w14:paraId="0000006D">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numPr>
          <w:ilvl w:val="0"/>
          <w:numId w:val="2"/>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Volunteer ToR</w:t>
      </w:r>
      <w:r w:rsidDel="00000000" w:rsidR="00000000" w:rsidRPr="00000000">
        <w:rPr>
          <w:rFonts w:ascii="Times New Roman" w:cs="Times New Roman" w:eastAsia="Times New Roman" w:hAnsi="Times New Roman"/>
          <w:rtl w:val="0"/>
        </w:rPr>
        <w:t xml:space="preserve">-Feedback was received from the SAG members and the ToR will be finalized and send to NNC next week for discussion.</w:t>
      </w:r>
    </w:p>
    <w:p w:rsidR="00000000" w:rsidDel="00000000" w:rsidP="00000000" w:rsidRDefault="00000000" w:rsidRPr="00000000" w14:paraId="0000006F">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numPr>
          <w:ilvl w:val="0"/>
          <w:numId w:val="2"/>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PPE information</w:t>
      </w:r>
      <w:r w:rsidDel="00000000" w:rsidR="00000000" w:rsidRPr="00000000">
        <w:rPr>
          <w:rFonts w:ascii="Times New Roman" w:cs="Times New Roman" w:eastAsia="Times New Roman" w:hAnsi="Times New Roman"/>
          <w:rtl w:val="0"/>
        </w:rPr>
        <w:t xml:space="preserve">-WHO shared to the SAG members. Precise version for volunteers is required and it needs approval from the NNC too. .</w:t>
      </w:r>
    </w:p>
    <w:p w:rsidR="00000000" w:rsidDel="00000000" w:rsidP="00000000" w:rsidRDefault="00000000" w:rsidRPr="00000000" w14:paraId="00000071">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numPr>
          <w:ilvl w:val="0"/>
          <w:numId w:val="2"/>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Starting from next week, serial </w:t>
      </w:r>
      <w:r w:rsidDel="00000000" w:rsidR="00000000" w:rsidRPr="00000000">
        <w:rPr>
          <w:rFonts w:ascii="Times New Roman" w:cs="Times New Roman" w:eastAsia="Times New Roman" w:hAnsi="Times New Roman"/>
          <w:b w:val="1"/>
          <w:rtl w:val="0"/>
        </w:rPr>
        <w:t xml:space="preserve">virtual training</w:t>
      </w:r>
      <w:r w:rsidDel="00000000" w:rsidR="00000000" w:rsidRPr="00000000">
        <w:rPr>
          <w:rFonts w:ascii="Times New Roman" w:cs="Times New Roman" w:eastAsia="Times New Roman" w:hAnsi="Times New Roman"/>
          <w:rtl w:val="0"/>
        </w:rPr>
        <w:t xml:space="preserve"> for  IPs and volunteers will be organized and UNICEF will share the training timeline after meeting with Tech RRT this afternoon.</w:t>
      </w:r>
    </w:p>
    <w:p w:rsidR="00000000" w:rsidDel="00000000" w:rsidP="00000000" w:rsidRDefault="00000000" w:rsidRPr="00000000" w14:paraId="00000073">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numPr>
          <w:ilvl w:val="0"/>
          <w:numId w:val="2"/>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discuss with Dr Lwin Mar on practical application of guidance note by MoHS and its timeline to apply by the sub-national and BHS. During next week virtual training, we can discuss with partners for practical implementation. Further discussion will be required among SAG members after the orientation session. </w:t>
      </w:r>
    </w:p>
    <w:p w:rsidR="00000000" w:rsidDel="00000000" w:rsidP="00000000" w:rsidRDefault="00000000" w:rsidRPr="00000000" w14:paraId="00000075">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numPr>
          <w:ilvl w:val="0"/>
          <w:numId w:val="2"/>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SCI- Due to COVID-19, SCI suspended some activities in most of the area but kept nutrition activities in Rakhine.</w:t>
      </w:r>
    </w:p>
    <w:p w:rsidR="00000000" w:rsidDel="00000000" w:rsidP="00000000" w:rsidRDefault="00000000" w:rsidRPr="00000000" w14:paraId="00000077">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numPr>
          <w:ilvl w:val="0"/>
          <w:numId w:val="2"/>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ACF requested to discuss the defining indicators and NIS. We now have global guidance on indicators and need more time to discuss for NIS next week.</w:t>
      </w:r>
    </w:p>
    <w:p w:rsidR="00000000" w:rsidDel="00000000" w:rsidP="00000000" w:rsidRDefault="00000000" w:rsidRPr="00000000" w14:paraId="00000079">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Next SAG Meeting-Friday 11.30 am-1.00 pm</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hanging="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hanging="720"/>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0000"/>
          <w:u w:val="single"/>
          <w:rtl w:val="0"/>
        </w:rPr>
        <w:t xml:space="preserve">Participants</w:t>
      </w: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74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
        <w:gridCol w:w="1699"/>
        <w:gridCol w:w="2201"/>
        <w:gridCol w:w="3070"/>
        <w:tblGridChange w:id="0">
          <w:tblGrid>
            <w:gridCol w:w="511"/>
            <w:gridCol w:w="1699"/>
            <w:gridCol w:w="2201"/>
            <w:gridCol w:w="3070"/>
          </w:tblGrid>
        </w:tblGridChange>
      </w:tblGrid>
      <w:tr>
        <w:trPr>
          <w:trHeight w:val="63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F">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No </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0">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Organisation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1">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Name of participant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2">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Email address</w:t>
            </w:r>
            <w:r w:rsidDel="00000000" w:rsidR="00000000" w:rsidRPr="00000000">
              <w:rPr>
                <w:rtl w:val="0"/>
              </w:rPr>
            </w:r>
          </w:p>
        </w:tc>
      </w:tr>
      <w:t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3">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4">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LIFT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5">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Nang Lyan Zar</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6">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nanglyanzar@unops.org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7">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2</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8">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Dr. Chaw Su Su Khaing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A">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chawsusu.khaing@wfp.org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B">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3</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C">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D">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Melody</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E">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melody.muchimwe@wfp.org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F">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4</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0">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1">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Fumito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2">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fumito.morinaga@wfp.org</w:t>
            </w:r>
            <w:r w:rsidDel="00000000" w:rsidR="00000000" w:rsidRPr="00000000">
              <w:rPr>
                <w:rtl w:val="0"/>
              </w:rPr>
            </w:r>
          </w:p>
        </w:tc>
      </w:tr>
      <w:tr>
        <w:trPr>
          <w:trHeight w:val="58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3">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4">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ACF</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5">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Dr Than Htut Aung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6">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nuthod@mm-actioncontrelafaim.org</w:t>
            </w:r>
            <w:r w:rsidDel="00000000" w:rsidR="00000000" w:rsidRPr="00000000">
              <w:rPr>
                <w:rtl w:val="0"/>
              </w:rPr>
            </w:r>
          </w:p>
        </w:tc>
      </w:tr>
      <w:tr>
        <w:trPr>
          <w:trHeight w:val="58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7">
            <w:pPr>
              <w:spacing w:after="0" w:before="240" w:line="240" w:lineRule="auto"/>
              <w:jc w:val="both"/>
              <w:rPr>
                <w:color w:val="000000"/>
              </w:rPr>
            </w:pPr>
            <w:r w:rsidDel="00000000" w:rsidR="00000000" w:rsidRPr="00000000">
              <w:rPr>
                <w:color w:val="000000"/>
                <w:rtl w:val="0"/>
              </w:rPr>
              <w:t xml:space="preserve">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8">
            <w:pPr>
              <w:spacing w:after="0" w:before="240" w:line="240" w:lineRule="auto"/>
              <w:jc w:val="both"/>
              <w:rPr>
                <w:color w:val="000000"/>
              </w:rPr>
            </w:pPr>
            <w:r w:rsidDel="00000000" w:rsidR="00000000" w:rsidRPr="00000000">
              <w:rPr>
                <w:color w:val="000000"/>
                <w:rtl w:val="0"/>
              </w:rPr>
              <w:t xml:space="preserve">UNOPS </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9">
            <w:pPr>
              <w:spacing w:after="0" w:before="240" w:line="240" w:lineRule="auto"/>
              <w:jc w:val="both"/>
              <w:rPr>
                <w:color w:val="000000"/>
              </w:rPr>
            </w:pPr>
            <w:r w:rsidDel="00000000" w:rsidR="00000000" w:rsidRPr="00000000">
              <w:rPr>
                <w:color w:val="000000"/>
                <w:rtl w:val="0"/>
              </w:rPr>
              <w:t xml:space="preserve">Jennie Hilton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A">
            <w:pPr>
              <w:spacing w:after="0" w:before="240" w:line="240" w:lineRule="auto"/>
              <w:jc w:val="both"/>
              <w:rPr>
                <w:color w:val="000000"/>
              </w:rPr>
            </w:pPr>
            <w:r w:rsidDel="00000000" w:rsidR="00000000" w:rsidRPr="00000000">
              <w:rPr>
                <w:color w:val="000000"/>
                <w:rtl w:val="0"/>
              </w:rPr>
              <w:t xml:space="preserve">jennieh@unops.org</w:t>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B">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C">
            <w:pPr>
              <w:spacing w:before="240" w:lineRule="auto"/>
              <w:jc w:val="both"/>
              <w:rPr/>
            </w:pPr>
            <w:r w:rsidDel="00000000" w:rsidR="00000000" w:rsidRPr="00000000">
              <w:rPr>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D">
            <w:pPr>
              <w:spacing w:before="240" w:lineRule="auto"/>
              <w:jc w:val="both"/>
              <w:rPr/>
            </w:pPr>
            <w:r w:rsidDel="00000000" w:rsidR="00000000" w:rsidRPr="00000000">
              <w:rPr>
                <w:rtl w:val="0"/>
              </w:rPr>
              <w:t xml:space="preserve">Nay Tun Kyaw</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E">
            <w:pPr>
              <w:spacing w:before="240" w:lineRule="auto"/>
              <w:jc w:val="both"/>
              <w:rPr/>
            </w:pPr>
            <w:hyperlink r:id="rId6">
              <w:r w:rsidDel="00000000" w:rsidR="00000000" w:rsidRPr="00000000">
                <w:rPr>
                  <w:color w:val="0000ff"/>
                  <w:u w:val="single"/>
                  <w:rtl w:val="0"/>
                </w:rPr>
                <w:t xml:space="preserve">ntkyaw@unicef.org</w:t>
              </w:r>
            </w:hyperlink>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F">
            <w:pPr>
              <w:spacing w:after="0" w:before="240" w:line="240" w:lineRule="auto"/>
              <w:jc w:val="both"/>
              <w:rPr>
                <w:color w:val="000000"/>
              </w:rPr>
            </w:pPr>
            <w:r w:rsidDel="00000000" w:rsidR="00000000" w:rsidRPr="00000000">
              <w:rPr>
                <w:color w:val="000000"/>
                <w:rtl w:val="0"/>
              </w:rPr>
              <w:t xml:space="preserve">8</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0">
            <w:pPr>
              <w:spacing w:before="240" w:lineRule="auto"/>
              <w:jc w:val="both"/>
              <w:rPr/>
            </w:pPr>
            <w:r w:rsidDel="00000000" w:rsidR="00000000" w:rsidRPr="00000000">
              <w:rPr>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1">
            <w:pPr>
              <w:spacing w:before="240" w:lineRule="auto"/>
              <w:jc w:val="both"/>
              <w:rPr/>
            </w:pPr>
            <w:r w:rsidDel="00000000" w:rsidR="00000000" w:rsidRPr="00000000">
              <w:rPr>
                <w:rtl w:val="0"/>
              </w:rPr>
              <w:t xml:space="preserve">Dr Kyaw Win Sein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2">
            <w:pPr>
              <w:spacing w:before="240" w:lineRule="auto"/>
              <w:jc w:val="both"/>
              <w:rPr/>
            </w:pPr>
            <w:r w:rsidDel="00000000" w:rsidR="00000000" w:rsidRPr="00000000">
              <w:rPr>
                <w:rtl w:val="0"/>
              </w:rPr>
              <w:t xml:space="preserve">kwsein@unicef.org</w:t>
            </w:r>
          </w:p>
        </w:tc>
      </w:tr>
      <w:tr>
        <w:trPr>
          <w:trHeight w:val="60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3">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9</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4">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WHO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5">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Dinesh Jeyakumaran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6">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jeyakumarand@who.int</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7">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10</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8">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UNOPS (ACCESS)</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Lei Lei Swe</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A">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leileis@unops.org</w:t>
            </w:r>
            <w:r w:rsidDel="00000000" w:rsidR="00000000" w:rsidRPr="00000000">
              <w:rPr>
                <w:rtl w:val="0"/>
              </w:rPr>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B">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C">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UN REACH</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D">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Soe Nyi Nyi</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E">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soe.nyinyi@wfp.org</w:t>
            </w:r>
            <w:r w:rsidDel="00000000" w:rsidR="00000000" w:rsidRPr="00000000">
              <w:rPr>
                <w:rtl w:val="0"/>
              </w:rPr>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F">
            <w:pPr>
              <w:spacing w:after="0" w:before="240" w:line="240" w:lineRule="auto"/>
              <w:jc w:val="both"/>
              <w:rPr>
                <w:color w:val="000000"/>
              </w:rPr>
            </w:pPr>
            <w:r w:rsidDel="00000000" w:rsidR="00000000" w:rsidRPr="00000000">
              <w:rPr>
                <w:color w:val="000000"/>
                <w:rtl w:val="0"/>
              </w:rPr>
              <w:t xml:space="preserve">12</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0">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1">
            <w:pPr>
              <w:spacing w:after="0" w:before="240" w:line="240" w:lineRule="auto"/>
              <w:jc w:val="both"/>
              <w:rPr>
                <w:color w:val="000000"/>
              </w:rPr>
            </w:pPr>
            <w:r w:rsidDel="00000000" w:rsidR="00000000" w:rsidRPr="00000000">
              <w:rPr>
                <w:color w:val="000000"/>
                <w:rtl w:val="0"/>
              </w:rPr>
              <w:t xml:space="preserve">Jecinter</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2">
            <w:pPr>
              <w:spacing w:after="0" w:before="240" w:line="240" w:lineRule="auto"/>
              <w:jc w:val="both"/>
              <w:rPr>
                <w:color w:val="000000"/>
              </w:rPr>
            </w:pPr>
            <w:r w:rsidDel="00000000" w:rsidR="00000000" w:rsidRPr="00000000">
              <w:rPr>
                <w:color w:val="000000"/>
                <w:rtl w:val="0"/>
              </w:rPr>
              <w:t xml:space="preserve">jaoketch@unicef.org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3">
            <w:pPr>
              <w:spacing w:after="0" w:before="240" w:line="240" w:lineRule="auto"/>
              <w:jc w:val="both"/>
              <w:rPr>
                <w:color w:val="000000"/>
              </w:rPr>
            </w:pPr>
            <w:r w:rsidDel="00000000" w:rsidR="00000000" w:rsidRPr="00000000">
              <w:rPr>
                <w:color w:val="000000"/>
                <w:rtl w:val="0"/>
              </w:rPr>
              <w:t xml:space="preserve">13</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4">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5">
            <w:pPr>
              <w:spacing w:after="0" w:before="240" w:line="240" w:lineRule="auto"/>
              <w:jc w:val="both"/>
              <w:rPr>
                <w:color w:val="000000"/>
              </w:rPr>
            </w:pPr>
            <w:r w:rsidDel="00000000" w:rsidR="00000000" w:rsidRPr="00000000">
              <w:rPr>
                <w:color w:val="000000"/>
                <w:rtl w:val="0"/>
              </w:rPr>
              <w:t xml:space="preserve">Win Lae</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6">
            <w:pPr>
              <w:spacing w:after="0" w:before="240" w:line="240" w:lineRule="auto"/>
              <w:jc w:val="both"/>
              <w:rPr>
                <w:color w:val="000000"/>
              </w:rPr>
            </w:pPr>
            <w:r w:rsidDel="00000000" w:rsidR="00000000" w:rsidRPr="00000000">
              <w:rPr>
                <w:color w:val="000000"/>
                <w:rtl w:val="0"/>
              </w:rPr>
              <w:t xml:space="preserve">wlae@unicef.org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7">
            <w:pPr>
              <w:spacing w:after="0" w:before="240" w:line="240" w:lineRule="auto"/>
              <w:jc w:val="both"/>
              <w:rPr>
                <w:color w:val="000000"/>
              </w:rPr>
            </w:pPr>
            <w:r w:rsidDel="00000000" w:rsidR="00000000" w:rsidRPr="00000000">
              <w:rPr>
                <w:color w:val="000000"/>
                <w:rtl w:val="0"/>
              </w:rPr>
              <w:t xml:space="preserve">14</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8">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9">
            <w:pPr>
              <w:spacing w:after="0" w:before="240" w:line="240" w:lineRule="auto"/>
              <w:jc w:val="both"/>
              <w:rPr>
                <w:color w:val="000000"/>
              </w:rPr>
            </w:pPr>
            <w:r w:rsidDel="00000000" w:rsidR="00000000" w:rsidRPr="00000000">
              <w:rPr>
                <w:color w:val="000000"/>
                <w:rtl w:val="0"/>
              </w:rPr>
              <w:t xml:space="preserve">Elin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A">
            <w:pPr>
              <w:spacing w:after="0" w:before="240" w:line="240" w:lineRule="auto"/>
              <w:jc w:val="both"/>
              <w:rPr>
                <w:color w:val="000000"/>
              </w:rPr>
            </w:pPr>
            <w:r w:rsidDel="00000000" w:rsidR="00000000" w:rsidRPr="00000000">
              <w:rPr>
                <w:color w:val="000000"/>
                <w:rtl w:val="0"/>
              </w:rPr>
              <w:t xml:space="preserve">enilsson@unicef.org</w:t>
            </w:r>
          </w:p>
        </w:tc>
      </w:tr>
      <w:tr>
        <w:trPr>
          <w:trHeight w:val="61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B">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C">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UNICEF</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D">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Pyae Phyo Aung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E">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paung@unicef.org</w:t>
            </w:r>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F">
            <w:pPr>
              <w:spacing w:after="0" w:before="240" w:line="240" w:lineRule="auto"/>
              <w:jc w:val="both"/>
              <w:rPr>
                <w:color w:val="000000"/>
              </w:rPr>
            </w:pPr>
            <w:r w:rsidDel="00000000" w:rsidR="00000000" w:rsidRPr="00000000">
              <w:rPr>
                <w:color w:val="000000"/>
                <w:rtl w:val="0"/>
              </w:rPr>
              <w:t xml:space="preserve">16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0">
            <w:pPr>
              <w:spacing w:after="0" w:before="240" w:line="240" w:lineRule="auto"/>
              <w:jc w:val="both"/>
              <w:rPr>
                <w:color w:val="000000"/>
              </w:rPr>
            </w:pPr>
            <w:r w:rsidDel="00000000" w:rsidR="00000000" w:rsidRPr="00000000">
              <w:rPr>
                <w:rtl w:val="0"/>
              </w:rPr>
              <w:t xml:space="preserve">UNOPS</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1">
            <w:pPr>
              <w:spacing w:after="0" w:before="240" w:line="240" w:lineRule="auto"/>
              <w:jc w:val="both"/>
              <w:rPr>
                <w:color w:val="000000"/>
              </w:rPr>
            </w:pPr>
            <w:r w:rsidDel="00000000" w:rsidR="00000000" w:rsidRPr="00000000">
              <w:rPr>
                <w:rtl w:val="0"/>
              </w:rPr>
              <w:t xml:space="preserve">Kyaw Htin Soe</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2">
            <w:pPr>
              <w:spacing w:after="0" w:before="240" w:line="240" w:lineRule="auto"/>
              <w:jc w:val="both"/>
              <w:rPr>
                <w:color w:val="000000"/>
              </w:rPr>
            </w:pPr>
            <w:r w:rsidDel="00000000" w:rsidR="00000000" w:rsidRPr="00000000">
              <w:rPr>
                <w:rtl w:val="0"/>
              </w:rPr>
              <w:t xml:space="preserve">kyawhtins@unops.org</w:t>
            </w:r>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3">
            <w:pPr>
              <w:spacing w:after="0" w:before="240" w:line="240" w:lineRule="auto"/>
              <w:jc w:val="both"/>
              <w:rPr>
                <w:color w:val="000000"/>
              </w:rPr>
            </w:pPr>
            <w:r w:rsidDel="00000000" w:rsidR="00000000" w:rsidRPr="00000000">
              <w:rPr>
                <w:rtl w:val="0"/>
              </w:rPr>
              <w:t xml:space="preserve">17</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4">
            <w:pPr>
              <w:spacing w:after="0" w:before="240" w:line="240" w:lineRule="auto"/>
              <w:jc w:val="both"/>
              <w:rPr/>
            </w:pPr>
            <w:r w:rsidDel="00000000" w:rsidR="00000000" w:rsidRPr="00000000">
              <w:rPr>
                <w:rtl w:val="0"/>
              </w:rPr>
              <w:t xml:space="preserve">SCI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5">
            <w:pPr>
              <w:spacing w:before="240" w:lineRule="auto"/>
              <w:jc w:val="both"/>
              <w:rPr/>
            </w:pPr>
            <w:r w:rsidDel="00000000" w:rsidR="00000000" w:rsidRPr="00000000">
              <w:rPr>
                <w:rtl w:val="0"/>
              </w:rPr>
              <w:t xml:space="preserve">Camilo Gomez Restrepo</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6">
            <w:pPr>
              <w:spacing w:after="0" w:before="240" w:line="240" w:lineRule="auto"/>
              <w:jc w:val="both"/>
              <w:rPr/>
            </w:pPr>
            <w:r w:rsidDel="00000000" w:rsidR="00000000" w:rsidRPr="00000000">
              <w:rPr>
                <w:rtl w:val="0"/>
              </w:rPr>
              <w:t xml:space="preserve">Camilo.GomezRestrepo@savethechildren.org</w:t>
            </w:r>
          </w:p>
        </w:tc>
      </w:tr>
    </w:tbl>
    <w:p w:rsidR="00000000" w:rsidDel="00000000" w:rsidP="00000000" w:rsidRDefault="00000000" w:rsidRPr="00000000" w14:paraId="000000C7">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E">
      <w:pPr>
        <w:spacing w:line="240" w:lineRule="auto"/>
        <w:rPr>
          <w:rFonts w:ascii="Times New Roman" w:cs="Times New Roman" w:eastAsia="Times New Roman" w:hAnsi="Times New Roman"/>
          <w:b w:val="1"/>
          <w:color w:val="548dd4"/>
          <w:u w:val="single"/>
        </w:rPr>
      </w:pPr>
      <w:r w:rsidDel="00000000" w:rsidR="00000000" w:rsidRPr="00000000">
        <w:rPr>
          <w:rtl w:val="0"/>
        </w:rPr>
      </w:r>
    </w:p>
    <w:sectPr>
      <w:headerReference r:id="rId7" w:type="default"/>
      <w:footerReference r:id="rId8"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Rule="auto"/>
      <w:rPr>
        <w:color w:val="000000"/>
        <w:sz w:val="2"/>
        <w:szCs w:val="2"/>
      </w:rPr>
    </w:pPr>
    <w:r w:rsidDel="00000000" w:rsidR="00000000" w:rsidRPr="00000000">
      <w:rPr>
        <w:rtl w:val="0"/>
      </w:rPr>
    </w:r>
  </w:p>
  <w:tbl>
    <w:tblPr>
      <w:tblStyle w:val="Table4"/>
      <w:tblW w:w="9026.0" w:type="dxa"/>
      <w:jc w:val="left"/>
      <w:tblInd w:w="0.0" w:type="dxa"/>
      <w:tblBorders>
        <w:top w:color="0070c0"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21"/>
      <w:tblGridChange w:id="0">
        <w:tblGrid>
          <w:gridCol w:w="4505"/>
          <w:gridCol w:w="4521"/>
        </w:tblGrid>
      </w:tblGridChange>
    </w:tblGrid>
    <w:tr>
      <w:tc>
        <w:tcPr/>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NIE_SAG Meeting minutes</w:t>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                                          </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pos="4680"/>
              <w:tab w:val="right" w:pos="9360"/>
            </w:tabs>
            <w:jc w:val="right"/>
            <w:rPr>
              <w:color w:val="1f497d"/>
              <w:sz w:val="20"/>
              <w:szCs w:val="20"/>
            </w:rPr>
          </w:pPr>
          <w:r w:rsidDel="00000000" w:rsidR="00000000" w:rsidRPr="00000000">
            <w:rPr>
              <w:color w:val="1f497d"/>
              <w:sz w:val="20"/>
              <w:szCs w:val="20"/>
              <w:rtl w:val="0"/>
            </w:rPr>
            <w:t xml:space="preserve">Page </w:t>
          </w:r>
          <w:r w:rsidDel="00000000" w:rsidR="00000000" w:rsidRPr="00000000">
            <w:rPr>
              <w:color w:val="1f497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rtl w:val="0"/>
            </w:rPr>
          </w:r>
        </w:p>
      </w:tc>
    </w:tr>
  </w:tbl>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548dd4"/>
        <w:u w:val="single"/>
      </w:rPr>
    </w:pPr>
    <w:r w:rsidDel="00000000" w:rsidR="00000000" w:rsidRPr="00000000">
      <w:rPr>
        <w:rtl w:val="0"/>
      </w:rPr>
    </w:r>
  </w:p>
  <w:tbl>
    <w:tblPr>
      <w:tblStyle w:val="Table3"/>
      <w:tblW w:w="9026.0" w:type="dxa"/>
      <w:jc w:val="left"/>
      <w:tblInd w:w="0.0" w:type="dxa"/>
      <w:tblBorders>
        <w:top w:color="000000" w:space="0" w:sz="0" w:val="nil"/>
        <w:left w:color="000000" w:space="0" w:sz="0" w:val="nil"/>
        <w:bottom w:color="0070c0" w:space="0" w:sz="12" w:val="single"/>
        <w:right w:color="000000" w:space="0" w:sz="0" w:val="nil"/>
        <w:insideH w:color="000000" w:space="0" w:sz="0" w:val="nil"/>
        <w:insideV w:color="000000" w:space="0" w:sz="0" w:val="nil"/>
      </w:tblBorders>
      <w:tblLayout w:type="fixed"/>
      <w:tblLook w:val="0400"/>
    </w:tblPr>
    <w:tblGrid>
      <w:gridCol w:w="2344"/>
      <w:gridCol w:w="2346"/>
      <w:gridCol w:w="4336"/>
      <w:tblGridChange w:id="0">
        <w:tblGrid>
          <w:gridCol w:w="2344"/>
          <w:gridCol w:w="2346"/>
          <w:gridCol w:w="4336"/>
        </w:tblGrid>
      </w:tblGridChange>
    </w:tblGrid>
    <w:tr>
      <w:tc>
        <w:tcPr/>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pos="4680"/>
              <w:tab w:val="right" w:pos="9360"/>
            </w:tabs>
            <w:rPr>
              <w:b w:val="1"/>
              <w:color w:val="1f497d"/>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pos="4680"/>
              <w:tab w:val="right" w:pos="9360"/>
            </w:tabs>
            <w:rPr>
              <w:color w:val="1f497d"/>
              <w:sz w:val="2"/>
              <w:szCs w:val="2"/>
            </w:rPr>
          </w:pPr>
          <w:r w:rsidDel="00000000" w:rsidR="00000000" w:rsidRPr="00000000">
            <w:rPr>
              <w:rtl w:val="0"/>
            </w:rPr>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pos="4680"/>
              <w:tab w:val="right" w:pos="9360"/>
            </w:tabs>
            <w:ind w:left="86"/>
            <w:rPr>
              <w:b w:val="1"/>
              <w:color w:val="1f497d"/>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pos="4680"/>
              <w:tab w:val="right" w:pos="9360"/>
            </w:tabs>
            <w:ind w:left="3600"/>
            <w:rPr>
              <w:color w:val="1f497d"/>
            </w:rPr>
          </w:pPr>
          <w:r w:rsidDel="00000000" w:rsidR="00000000" w:rsidRPr="00000000">
            <w:rPr>
              <w:color w:val="000000"/>
            </w:rPr>
            <w:drawing>
              <wp:inline distB="0" distT="0" distL="0" distR="0">
                <wp:extent cx="336901" cy="4020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6901" cy="40205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tkyaw@unicef.or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