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Nutrition in Emergency (NiE) SAG meeting, Myanmar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18 May 2020, 14:00-15:30</w:t>
      </w:r>
    </w:p>
    <w:p w:rsidR="00000000" w:rsidDel="00000000" w:rsidP="00000000" w:rsidRDefault="00000000" w:rsidRPr="00000000" w14:paraId="00000003">
      <w:pPr>
        <w:pStyle w:val="Heading1"/>
        <w:spacing w:after="120"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Meeting minutes</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UNICEF on behalf of the nutrition sector</w:t>
      </w:r>
    </w:p>
    <w:p w:rsidR="00000000" w:rsidDel="00000000" w:rsidP="00000000" w:rsidRDefault="00000000" w:rsidRPr="00000000" w14:paraId="00000005">
      <w:pPr>
        <w:pStyle w:val="Heading2"/>
        <w:spacing w:line="240" w:lineRule="auto"/>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color w:val="0070c0"/>
          <w:sz w:val="22"/>
          <w:szCs w:val="22"/>
          <w:rtl w:val="0"/>
        </w:rPr>
        <w:t xml:space="preserve">Agenda</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the MS-NPAN and issue of advocacy for nutrition in the context of COVID </w:t>
      </w:r>
    </w:p>
    <w:p w:rsidR="00000000" w:rsidDel="00000000" w:rsidP="00000000" w:rsidRDefault="00000000" w:rsidRPr="00000000" w14:paraId="00000008">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Feedback for nutrition sensitive – SAG members</w:t>
      </w:r>
    </w:p>
    <w:p w:rsidR="00000000" w:rsidDel="00000000" w:rsidP="00000000" w:rsidRDefault="00000000" w:rsidRPr="00000000" w14:paraId="00000009">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Feedback on Maternal and adolescent nutrition during COVID – SAG members.</w:t>
      </w:r>
    </w:p>
    <w:p w:rsidR="00000000" w:rsidDel="00000000" w:rsidP="00000000" w:rsidRDefault="00000000" w:rsidRPr="00000000" w14:paraId="0000000A">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Basic nutrition guidance for non-technical people like camp leader – Dr Kyaw Win Sein.</w:t>
      </w:r>
    </w:p>
    <w:p w:rsidR="00000000" w:rsidDel="00000000" w:rsidP="00000000" w:rsidRDefault="00000000" w:rsidRPr="00000000" w14:paraId="0000000B">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Confirm that other aspects included -  dried fish into the food basket, human milk bank, milk planning etc – Dr Kyaw Win Sein and Dinesh</w:t>
      </w:r>
    </w:p>
    <w:p w:rsidR="00000000" w:rsidDel="00000000" w:rsidP="00000000" w:rsidRDefault="00000000" w:rsidRPr="00000000" w14:paraId="0000000C">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Updates on SBCC nutrition during COVID-19 – what will be ready by when? Way forward with  SBCC strategy NNC review.</w:t>
      </w:r>
    </w:p>
    <w:p w:rsidR="00000000" w:rsidDel="00000000" w:rsidP="00000000" w:rsidRDefault="00000000" w:rsidRPr="00000000" w14:paraId="0000000D">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Update on the IYCF training</w:t>
      </w:r>
    </w:p>
    <w:p w:rsidR="00000000" w:rsidDel="00000000" w:rsidP="00000000" w:rsidRDefault="00000000" w:rsidRPr="00000000" w14:paraId="0000000E">
      <w:pPr>
        <w:numPr>
          <w:ilvl w:val="0"/>
          <w:numId w:val="3"/>
        </w:numPr>
        <w:spacing w:after="240" w:lineRule="auto"/>
        <w:ind w:left="0" w:hanging="360"/>
        <w:rPr>
          <w:rFonts w:ascii="Arial" w:cs="Arial" w:eastAsia="Arial" w:hAnsi="Arial"/>
        </w:rPr>
      </w:pPr>
      <w:r w:rsidDel="00000000" w:rsidR="00000000" w:rsidRPr="00000000">
        <w:rPr>
          <w:rFonts w:ascii="Times New Roman" w:cs="Times New Roman" w:eastAsia="Times New Roman" w:hAnsi="Times New Roman"/>
          <w:rtl w:val="0"/>
        </w:rPr>
        <w:t xml:space="preserve">AOB – need for sector meeting</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Discussion Note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 </w:t>
        <w:tab/>
      </w:r>
      <w:r w:rsidDel="00000000" w:rsidR="00000000" w:rsidRPr="00000000">
        <w:rPr>
          <w:rFonts w:ascii="Times New Roman" w:cs="Times New Roman" w:eastAsia="Times New Roman" w:hAnsi="Times New Roman"/>
          <w:rtl w:val="0"/>
        </w:rPr>
        <w:t xml:space="preserve">Updates on MS-NPAN and issue of advocacy for nutrition in the context of COVID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hard work of the MS-NPAN core team, the MS-NPAN work plan was finalized today including the HR structure and budget and sent to the NNC for the review and approval. The ToRs are still being developed. The work plan contains 5 components- Completion of the Sub-National plans in the Cohort one States/Region, Starting the planning work for Cohort two, Initial implementation of the developed plans, Strengthening the coordination, and governance, and M&amp;E.</w:t>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COVID-19, the interventions, coverage and targets of previously developed sub-national plans are required to adapt with the COVID-19 context after consultation with local stakeholders. The MS-NPAN plans are planning to align with the SAG_NIE work and considering the operational feasibility. </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NIE_SAG group welcomed Dr Aung Nyan Min for his first participation.</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Advocacy to HoA and high-level stakeholders about the revised work plan of MS-NPAN, and impact of nutrition due to the COVID-19 and its prioritization are critical. Both can work in parallel and it can be discussed in more detail in Wednesday's meeting. </w:t>
      </w:r>
    </w:p>
    <w:p w:rsidR="00000000" w:rsidDel="00000000" w:rsidP="00000000" w:rsidRDefault="00000000" w:rsidRPr="00000000" w14:paraId="0000001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tab/>
      </w:r>
      <w:r w:rsidDel="00000000" w:rsidR="00000000" w:rsidRPr="00000000">
        <w:rPr>
          <w:rFonts w:ascii="Times New Roman" w:cs="Times New Roman" w:eastAsia="Times New Roman" w:hAnsi="Times New Roman"/>
          <w:rtl w:val="0"/>
        </w:rPr>
        <w:t xml:space="preserve">Feedback for nutrition sensitive – SAG members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Jennie summarized the feedback requested from the group as follows.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Whether the proposed guidance is practical, relevant and operationally feasible</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Discussion is whether using only highlight/summarize and refer to proper guidance or  succinct more and adapt to be user friendly.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Feedback on targeting-It was discussed to use as broad as possible.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Inclusion of HIV/TB and disabilities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Communication component-development of message which can be arranged as part 3.</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group needs more time to review the document and feedback will be sent after the review.</w:t>
      </w:r>
    </w:p>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KWS mentioned the different process 1. Guidance note 2. Training 3. SBCC_IEC materials and the IEC things should be separated and not to mix with the guidance note.</w:t>
      </w:r>
    </w:p>
    <w:p w:rsidR="00000000" w:rsidDel="00000000" w:rsidP="00000000" w:rsidRDefault="00000000" w:rsidRPr="00000000" w14:paraId="0000002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Jecinter will share the IFPRI presentation to the group.</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Request Dinesh to send the food basket document after adding the fish component to Dr KWS.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SBCC guidance for partners (not IEC not C4D) can be its own annex Jecinter and Ko Pyae will work.</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tab/>
      </w:r>
      <w:r w:rsidDel="00000000" w:rsidR="00000000" w:rsidRPr="00000000">
        <w:rPr>
          <w:rFonts w:ascii="Times New Roman" w:cs="Times New Roman" w:eastAsia="Times New Roman" w:hAnsi="Times New Roman"/>
          <w:rtl w:val="0"/>
        </w:rPr>
        <w:t xml:space="preserve">Feedback on Maternal and adolescent nutrition during COVID – SAG members.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maternal nutrition guidance is broader and the adolescent nutrition highlights only key interventions but not included the obesity components. Feedbacks are requested to send to Dr KWS.</w:t>
      </w:r>
      <w:r w:rsidDel="00000000" w:rsidR="00000000" w:rsidRPr="00000000">
        <w:rPr>
          <w:rtl w:val="0"/>
        </w:rPr>
      </w:r>
    </w:p>
    <w:p w:rsidR="00000000" w:rsidDel="00000000" w:rsidP="00000000" w:rsidRDefault="00000000" w:rsidRPr="00000000" w14:paraId="00000030">
      <w:pPr>
        <w:spacing w:after="0" w:line="240" w:lineRule="auto"/>
        <w:ind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tab/>
      </w:r>
      <w:r w:rsidDel="00000000" w:rsidR="00000000" w:rsidRPr="00000000">
        <w:rPr>
          <w:rFonts w:ascii="Times New Roman" w:cs="Times New Roman" w:eastAsia="Times New Roman" w:hAnsi="Times New Roman"/>
          <w:rtl w:val="0"/>
        </w:rPr>
        <w:t xml:space="preserve">Basic nutrition guidance for non-technical people like camp coordinator – Dr Kyaw Win Sein</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KWS is now preparing a non-technical guidance for non-technical people and is supposed to be finished by the end of this week. </w:t>
        <w:tab/>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tab/>
      </w:r>
      <w:r w:rsidDel="00000000" w:rsidR="00000000" w:rsidRPr="00000000">
        <w:rPr>
          <w:rFonts w:ascii="Times New Roman" w:cs="Times New Roman" w:eastAsia="Times New Roman" w:hAnsi="Times New Roman"/>
          <w:rtl w:val="0"/>
        </w:rPr>
        <w:t xml:space="preserve">Confirm that other aspects included -  dried fish into the food basket, human milk bank, milk planning etc – Dr Kyaw Win Sein and Dinesh</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Dinesh will discuss with Melody for adding the dry fish component into the food basket and will get back to the group.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Meal plan was developed by LIFT and shared with the group. The meal plan for the quarantine center was also discussed. DSW mainly supports the hot meal for the quarantine centre and WFP is also supporting hot meals in quarantine centres in Kayin. </w:t>
      </w:r>
    </w:p>
    <w:p w:rsidR="00000000" w:rsidDel="00000000" w:rsidP="00000000" w:rsidRDefault="00000000" w:rsidRPr="00000000" w14:paraId="0000003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agreed to add a meal plan document into the new version. </w:t>
      </w:r>
    </w:p>
    <w:p w:rsidR="00000000" w:rsidDel="00000000" w:rsidP="00000000" w:rsidRDefault="00000000" w:rsidRPr="00000000" w14:paraId="0000003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week, to add one agenda for WFP- Experience sharing of WFP support on quarantine centres in Kayin and its challenges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tab/>
        <w:t xml:space="preserve">Updates on SBCC nutrition during COVID-19</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MoHS uploaded the FAQ of MNCH and Nutrition information on their social media last week. Similarly, the Nutrition GIFs about food groups and food handling, supported by UNICEF, were posted together with other health GIFs. More GIFs will be coming.</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design process for the flyer and poster is ongoing and a camera-ready version will be ready by next two week.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UNICEF is processing the reprinting of existing IEC materials and will share the information to the group.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draft IYCF counselling card design will be ready by this week and will be shared to the group by next week.</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Jecinter requested members to share the updates about uploading nutrition C4D materials on the social media to the group as soon as possible.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Update on the IYCF training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online cIYCF training started today and trainers are Professor Aye Aye Myint, Dr Kyae Win Sein and Dr Nay Tun Kyaw. More than 300 participants joined. Dr KWS will explain about the guidance note on the last day. </w:t>
      </w:r>
    </w:p>
    <w:p w:rsidR="00000000" w:rsidDel="00000000" w:rsidP="00000000" w:rsidRDefault="00000000" w:rsidRPr="00000000" w14:paraId="0000004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AOB –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Jecinter pointed out that further discussion is required on the supply plan, current stock and pipeline to avoid the stock out during the emergency situation.</w:t>
      </w:r>
    </w:p>
    <w:p w:rsidR="00000000" w:rsidDel="00000000" w:rsidP="00000000" w:rsidRDefault="00000000" w:rsidRPr="00000000" w14:paraId="00000050">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shared the update on the arrival of RUSF and MNP and their plan to discuss with NNC. After discussion with NNC, ACCESS will organize a meeting with WFP and UNICEF on discussion of nutrition supplies.  </w:t>
      </w:r>
    </w:p>
    <w:p w:rsidR="00000000" w:rsidDel="00000000" w:rsidP="00000000" w:rsidRDefault="00000000" w:rsidRPr="00000000" w14:paraId="00000051">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 Pyae discussed the importance of township level distribution plans of RUTF, RUSF, and MNP.</w:t>
      </w:r>
    </w:p>
    <w:p w:rsidR="00000000" w:rsidDel="00000000" w:rsidP="00000000" w:rsidRDefault="00000000" w:rsidRPr="00000000" w14:paraId="00000052">
      <w:pPr>
        <w:spacing w:after="0" w:lineRule="auto"/>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nutrition indicator- Number of caregivers  of children 0-23 months who received key messages that protect and promote appropriate breastfeeding practices in the context of COVID-through radio, television, print media and other mass communication challenges including social media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proposed. It was suggested that it would be difficult to collect headcount, perhaps the number of messages would be better.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Jecinter will send an email to the group and request feedback by today.</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meeting-It was agreed to have it on Monday 2.00-3:30.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ind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hanging="72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0000"/>
          <w:u w:val="single"/>
          <w:rtl w:val="0"/>
        </w:rPr>
        <w:t xml:space="preserve">Participants</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74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1699"/>
        <w:gridCol w:w="2201"/>
        <w:gridCol w:w="3070"/>
        <w:tblGridChange w:id="0">
          <w:tblGrid>
            <w:gridCol w:w="511"/>
            <w:gridCol w:w="1699"/>
            <w:gridCol w:w="2201"/>
            <w:gridCol w:w="3070"/>
          </w:tblGrid>
        </w:tblGridChange>
      </w:tblGrid>
      <w:tr>
        <w:trPr>
          <w:trHeight w:val="63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5F">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0">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1">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2">
            <w:pPr>
              <w:spacing w:before="240" w:lineRule="auto"/>
              <w:jc w:val="center"/>
              <w:rPr>
                <w:rFonts w:ascii="Times New Roman" w:cs="Times New Roman" w:eastAsia="Times New Roman" w:hAnsi="Times New Roman"/>
                <w:sz w:val="24"/>
                <w:szCs w:val="24"/>
              </w:rPr>
            </w:pPr>
            <w:r w:rsidDel="00000000" w:rsidR="00000000" w:rsidRPr="00000000">
              <w:rPr>
                <w:b w:val="1"/>
                <w:i w:val="1"/>
                <w:color w:val="000000"/>
                <w:rtl w:val="0"/>
              </w:rPr>
              <w:t xml:space="preserve">Email address</w:t>
            </w:r>
            <w:r w:rsidDel="00000000" w:rsidR="00000000" w:rsidRPr="00000000">
              <w:rPr>
                <w:rtl w:val="0"/>
              </w:rPr>
            </w:r>
          </w:p>
        </w:tc>
      </w:tr>
      <w:t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3">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4">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LIFT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5">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 Lyan Zar</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6">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nanglyanzar@unops.org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7">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2</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8">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9">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Chaw Su Su Khaing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A">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chawsusu.khaing@wfp.org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B">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3</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C">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melody.muchimwe@wfp.org</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4</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WFP</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fumito.morinaga@wfp.org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ACF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Dr Than Htut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nuthod@mm-actioncontrelafaim.org</w:t>
            </w:r>
            <w:r w:rsidDel="00000000" w:rsidR="00000000" w:rsidRPr="00000000">
              <w:rPr>
                <w:rtl w:val="0"/>
              </w:rPr>
            </w:r>
          </w:p>
        </w:tc>
      </w:tr>
      <w:tr>
        <w:trPr>
          <w:trHeight w:val="58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before="240" w:lineRule="auto"/>
              <w:jc w:val="both"/>
              <w:rPr>
                <w:color w:val="000000"/>
              </w:rPr>
            </w:pPr>
            <w:r w:rsidDel="00000000" w:rsidR="00000000" w:rsidRPr="00000000">
              <w:rPr>
                <w:color w:val="000000"/>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before="240" w:lineRule="auto"/>
              <w:jc w:val="both"/>
              <w:rPr>
                <w:color w:val="000000"/>
              </w:rPr>
            </w:pPr>
            <w:r w:rsidDel="00000000" w:rsidR="00000000" w:rsidRPr="00000000">
              <w:rPr>
                <w:color w:val="000000"/>
                <w:rtl w:val="0"/>
              </w:rPr>
              <w:t xml:space="preserve">UNOPS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before="240" w:lineRule="auto"/>
              <w:jc w:val="both"/>
              <w:rPr>
                <w:color w:val="000000"/>
              </w:rPr>
            </w:pPr>
            <w:r w:rsidDel="00000000" w:rsidR="00000000" w:rsidRPr="00000000">
              <w:rPr>
                <w:color w:val="000000"/>
                <w:rtl w:val="0"/>
              </w:rPr>
              <w:t xml:space="preserve">Jennie Hilton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before="240" w:lineRule="auto"/>
              <w:jc w:val="both"/>
              <w:rPr>
                <w:color w:val="000000"/>
              </w:rPr>
            </w:pPr>
            <w:r w:rsidDel="00000000" w:rsidR="00000000" w:rsidRPr="00000000">
              <w:rPr>
                <w:color w:val="000000"/>
                <w:rtl w:val="0"/>
              </w:rPr>
              <w:t xml:space="preserve">jennieh@unops.org</w:t>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before="240" w:lineRule="auto"/>
              <w:jc w:val="both"/>
              <w:rPr/>
            </w:pPr>
            <w:r w:rsidDel="00000000" w:rsidR="00000000" w:rsidRPr="00000000">
              <w:rPr>
                <w:rtl w:val="0"/>
              </w:rPr>
              <w:t xml:space="preserve">Nay Tun Kyaw</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before="240" w:lineRule="auto"/>
              <w:jc w:val="both"/>
              <w:rPr/>
            </w:pPr>
            <w:hyperlink r:id="rId6">
              <w:r w:rsidDel="00000000" w:rsidR="00000000" w:rsidRPr="00000000">
                <w:rPr>
                  <w:color w:val="0000ff"/>
                  <w:u w:val="single"/>
                  <w:rtl w:val="0"/>
                </w:rPr>
                <w:t xml:space="preserve">ntkyaw@unicef.org</w:t>
              </w:r>
            </w:hyperlink>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before="240" w:lineRule="auto"/>
              <w:jc w:val="both"/>
              <w:rPr>
                <w:color w:val="000000"/>
              </w:rPr>
            </w:pPr>
            <w:r w:rsidDel="00000000" w:rsidR="00000000" w:rsidRPr="00000000">
              <w:rPr>
                <w:color w:val="000000"/>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before="240" w:lineRule="auto"/>
              <w:jc w:val="both"/>
              <w:rPr/>
            </w:pPr>
            <w:r w:rsidDel="00000000" w:rsidR="00000000" w:rsidRPr="00000000">
              <w:rPr>
                <w:rtl w:val="0"/>
              </w:rPr>
              <w:t xml:space="preserve">Dr Kyaw Win Sein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before="240" w:lineRule="auto"/>
              <w:jc w:val="both"/>
              <w:rPr/>
            </w:pPr>
            <w:r w:rsidDel="00000000" w:rsidR="00000000" w:rsidRPr="00000000">
              <w:rPr>
                <w:rtl w:val="0"/>
              </w:rPr>
              <w:t xml:space="preserve">kwsein@unicef.org</w:t>
            </w:r>
          </w:p>
        </w:tc>
      </w:tr>
      <w:tr>
        <w:trPr>
          <w:trHeight w:val="60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9</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WHO</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Dinesh Jeyakumaran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before="240" w:lineRule="auto"/>
              <w:jc w:val="both"/>
              <w:rPr/>
            </w:pPr>
            <w:r w:rsidDel="00000000" w:rsidR="00000000" w:rsidRPr="00000000">
              <w:rPr>
                <w:color w:val="000000"/>
                <w:rtl w:val="0"/>
              </w:rPr>
              <w:t xml:space="preserve">jeyakumarand@who.int</w:t>
            </w:r>
            <w:r w:rsidDel="00000000" w:rsidR="00000000" w:rsidRPr="00000000">
              <w:rPr>
                <w:rtl w:val="0"/>
              </w:rPr>
            </w:r>
          </w:p>
        </w:tc>
      </w:tr>
      <w:tr>
        <w:trPr>
          <w:trHeight w:val="77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10</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UNOPS (ACCESS)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 Lei Swe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leileis@unops.org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11</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UN REACH</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 Nyi Nyi</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soe.nyinyi@wfp.org</w:t>
            </w:r>
            <w:r w:rsidDel="00000000" w:rsidR="00000000" w:rsidRPr="00000000">
              <w:rPr>
                <w:rtl w:val="0"/>
              </w:rPr>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before="240" w:lineRule="auto"/>
              <w:jc w:val="both"/>
              <w:rPr>
                <w:color w:val="000000"/>
              </w:rPr>
            </w:pPr>
            <w:r w:rsidDel="00000000" w:rsidR="00000000" w:rsidRPr="00000000">
              <w:rPr>
                <w:color w:val="000000"/>
                <w:rtl w:val="0"/>
              </w:rPr>
              <w:t xml:space="preserve">12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befor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before="240" w:lineRule="auto"/>
              <w:jc w:val="both"/>
              <w:rPr>
                <w:color w:val="000000"/>
              </w:rPr>
            </w:pPr>
            <w:r w:rsidDel="00000000" w:rsidR="00000000" w:rsidRPr="00000000">
              <w:rPr>
                <w:color w:val="000000"/>
                <w:rtl w:val="0"/>
              </w:rPr>
              <w:t xml:space="preserve">Jecinter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before="240" w:lineRule="auto"/>
              <w:jc w:val="both"/>
              <w:rPr>
                <w:color w:val="000000"/>
              </w:rPr>
            </w:pPr>
            <w:r w:rsidDel="00000000" w:rsidR="00000000" w:rsidRPr="00000000">
              <w:rPr>
                <w:color w:val="000000"/>
                <w:rtl w:val="0"/>
              </w:rPr>
              <w:t xml:space="preserve">jaoketch@unicef.org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before="240" w:lineRule="auto"/>
              <w:jc w:val="both"/>
              <w:rPr>
                <w:color w:val="000000"/>
              </w:rPr>
            </w:pPr>
            <w:r w:rsidDel="00000000" w:rsidR="00000000" w:rsidRPr="00000000">
              <w:rPr>
                <w:color w:val="000000"/>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befor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before="240" w:lineRule="auto"/>
              <w:jc w:val="both"/>
              <w:rPr>
                <w:color w:val="000000"/>
              </w:rPr>
            </w:pPr>
            <w:r w:rsidDel="00000000" w:rsidR="00000000" w:rsidRPr="00000000">
              <w:rPr>
                <w:color w:val="000000"/>
                <w:rtl w:val="0"/>
              </w:rPr>
              <w:t xml:space="preserve">Win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before="240" w:lineRule="auto"/>
              <w:jc w:val="both"/>
              <w:rPr>
                <w:color w:val="000000"/>
              </w:rPr>
            </w:pPr>
            <w:r w:rsidDel="00000000" w:rsidR="00000000" w:rsidRPr="00000000">
              <w:rPr>
                <w:color w:val="000000"/>
                <w:rtl w:val="0"/>
              </w:rPr>
              <w:t xml:space="preserve">wlae@unicef.org</w:t>
            </w:r>
          </w:p>
        </w:tc>
      </w:tr>
      <w:tr>
        <w:trPr>
          <w:trHeight w:val="72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7">
            <w:pPr>
              <w:spacing w:before="240" w:lineRule="auto"/>
              <w:jc w:val="both"/>
              <w:rPr>
                <w:color w:val="000000"/>
              </w:rPr>
            </w:pPr>
            <w:r w:rsidDel="00000000" w:rsidR="00000000" w:rsidRPr="00000000">
              <w:rPr>
                <w:color w:val="000000"/>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8">
            <w:pPr>
              <w:spacing w:before="240" w:lineRule="auto"/>
              <w:jc w:val="both"/>
              <w:rPr>
                <w:color w:val="000000"/>
              </w:rPr>
            </w:pPr>
            <w:r w:rsidDel="00000000" w:rsidR="00000000" w:rsidRPr="00000000">
              <w:rPr>
                <w:color w:val="000000"/>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9">
            <w:pPr>
              <w:spacing w:before="240" w:lineRule="auto"/>
              <w:jc w:val="both"/>
              <w:rPr>
                <w:color w:val="000000"/>
              </w:rPr>
            </w:pPr>
            <w:r w:rsidDel="00000000" w:rsidR="00000000" w:rsidRPr="00000000">
              <w:rPr>
                <w:color w:val="000000"/>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A">
            <w:pPr>
              <w:spacing w:before="240" w:lineRule="auto"/>
              <w:jc w:val="both"/>
              <w:rPr>
                <w:color w:val="000000"/>
              </w:rPr>
            </w:pPr>
            <w:r w:rsidDel="00000000" w:rsidR="00000000" w:rsidRPr="00000000">
              <w:rPr>
                <w:color w:val="000000"/>
                <w:rtl w:val="0"/>
              </w:rPr>
              <w:t xml:space="preserve">enilsson@unicef.org</w:t>
            </w:r>
          </w:p>
        </w:tc>
      </w:tr>
      <w:tr>
        <w:trPr>
          <w:trHeight w:val="61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B">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15</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C">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UNICEF</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D">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Pyae Phyo Aung</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E">
            <w:pPr>
              <w:spacing w:before="240" w:lineRule="auto"/>
              <w:jc w:val="both"/>
              <w:rPr>
                <w:rFonts w:ascii="Times New Roman" w:cs="Times New Roman" w:eastAsia="Times New Roman" w:hAnsi="Times New Roman"/>
                <w:sz w:val="24"/>
                <w:szCs w:val="24"/>
              </w:rPr>
            </w:pPr>
            <w:r w:rsidDel="00000000" w:rsidR="00000000" w:rsidRPr="00000000">
              <w:rPr>
                <w:color w:val="000000"/>
                <w:rtl w:val="0"/>
              </w:rPr>
              <w:t xml:space="preserve">paung@unicef.org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F">
            <w:pPr>
              <w:spacing w:before="240" w:lineRule="auto"/>
              <w:jc w:val="both"/>
              <w:rPr>
                <w:color w:val="000000"/>
              </w:rPr>
            </w:pPr>
            <w:r w:rsidDel="00000000" w:rsidR="00000000" w:rsidRPr="00000000">
              <w:rPr>
                <w:color w:val="000000"/>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0">
            <w:pPr>
              <w:spacing w:before="240" w:lineRule="auto"/>
              <w:jc w:val="both"/>
              <w:rPr>
                <w:color w:val="000000"/>
              </w:rPr>
            </w:pPr>
            <w:r w:rsidDel="00000000" w:rsidR="00000000" w:rsidRPr="00000000">
              <w:rPr>
                <w:rtl w:val="0"/>
              </w:rPr>
              <w:t xml:space="preserve">UNOPS</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1">
            <w:pPr>
              <w:spacing w:before="240" w:lineRule="auto"/>
              <w:jc w:val="both"/>
              <w:rPr>
                <w:color w:val="000000"/>
              </w:rPr>
            </w:pPr>
            <w:r w:rsidDel="00000000" w:rsidR="00000000" w:rsidRPr="00000000">
              <w:rPr>
                <w:rtl w:val="0"/>
              </w:rPr>
              <w:t xml:space="preserve">Kyaw Htin Soe</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2">
            <w:pPr>
              <w:spacing w:before="240" w:lineRule="auto"/>
              <w:jc w:val="both"/>
              <w:rPr>
                <w:color w:val="000000"/>
              </w:rPr>
            </w:pPr>
            <w:r w:rsidDel="00000000" w:rsidR="00000000" w:rsidRPr="00000000">
              <w:rPr>
                <w:rtl w:val="0"/>
              </w:rPr>
              <w:t xml:space="preserve">kyawhtins@unops.org</w:t>
            </w:r>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3">
            <w:pPr>
              <w:spacing w:before="240" w:lineRule="auto"/>
              <w:jc w:val="both"/>
              <w:rPr>
                <w:color w:val="000000"/>
              </w:rPr>
            </w:pPr>
            <w:r w:rsidDel="00000000" w:rsidR="00000000" w:rsidRPr="00000000">
              <w:rPr>
                <w:rtl w:val="0"/>
              </w:rPr>
              <w:t xml:space="preserve">17</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4">
            <w:pPr>
              <w:spacing w:befor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5">
            <w:pPr>
              <w:spacing w:before="240" w:lineRule="auto"/>
              <w:jc w:val="both"/>
              <w:rPr/>
            </w:pPr>
            <w:r w:rsidDel="00000000" w:rsidR="00000000" w:rsidRPr="00000000">
              <w:rPr>
                <w:rtl w:val="0"/>
              </w:rPr>
              <w:t xml:space="preserve">Camilo Gomez Restrepo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6">
            <w:pPr>
              <w:spacing w:before="240" w:lineRule="auto"/>
              <w:jc w:val="both"/>
              <w:rPr/>
            </w:pPr>
            <w:r w:rsidDel="00000000" w:rsidR="00000000" w:rsidRPr="00000000">
              <w:rPr>
                <w:rtl w:val="0"/>
              </w:rPr>
              <w:t xml:space="preserve">Camilo.GomezRestrepo@savethechildren.org</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7">
            <w:pPr>
              <w:spacing w:before="240" w:lineRule="auto"/>
              <w:jc w:val="both"/>
              <w:rPr/>
            </w:pPr>
            <w:r w:rsidDel="00000000" w:rsidR="00000000" w:rsidRPr="00000000">
              <w:rPr>
                <w:rtl w:val="0"/>
              </w:rPr>
              <w:t xml:space="preserve">18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8">
            <w:pPr>
              <w:spacing w:befor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9">
            <w:pPr>
              <w:spacing w:before="240" w:lineRule="auto"/>
              <w:jc w:val="both"/>
              <w:rPr/>
            </w:pPr>
            <w:r w:rsidDel="00000000" w:rsidR="00000000" w:rsidRPr="00000000">
              <w:rPr>
                <w:rtl w:val="0"/>
              </w:rPr>
              <w:t xml:space="preserve">Sanda 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A">
            <w:pPr>
              <w:spacing w:before="240" w:lineRule="auto"/>
              <w:jc w:val="both"/>
              <w:rPr/>
            </w:pPr>
            <w:hyperlink r:id="rId7">
              <w:r w:rsidDel="00000000" w:rsidR="00000000" w:rsidRPr="00000000">
                <w:rPr>
                  <w:color w:val="0000ff"/>
                  <w:u w:val="single"/>
                  <w:rtl w:val="0"/>
                </w:rPr>
                <w:t xml:space="preserve">Sanda.Lin@savethechildren.org</w:t>
              </w:r>
            </w:hyperlink>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B">
            <w:pPr>
              <w:spacing w:before="240" w:lineRule="auto"/>
              <w:jc w:val="both"/>
              <w:rPr/>
            </w:pPr>
            <w:r w:rsidDel="00000000" w:rsidR="00000000" w:rsidRPr="00000000">
              <w:rPr>
                <w:rtl w:val="0"/>
              </w:rPr>
              <w:t xml:space="preserve">19</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C">
            <w:pPr>
              <w:spacing w:before="240" w:lineRule="auto"/>
              <w:jc w:val="both"/>
              <w:rPr/>
            </w:pPr>
            <w:r w:rsidDel="00000000" w:rsidR="00000000" w:rsidRPr="00000000">
              <w:rPr>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D">
            <w:pPr>
              <w:spacing w:before="240" w:lineRule="auto"/>
              <w:jc w:val="both"/>
              <w:rPr/>
            </w:pPr>
            <w:r w:rsidDel="00000000" w:rsidR="00000000" w:rsidRPr="00000000">
              <w:rPr>
                <w:rtl w:val="0"/>
              </w:rPr>
              <w:t xml:space="preserve">Hedy IP</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E">
            <w:pPr>
              <w:spacing w:before="240" w:lineRule="auto"/>
              <w:jc w:val="both"/>
              <w:rPr/>
            </w:pPr>
            <w:hyperlink r:id="rId8">
              <w:r w:rsidDel="00000000" w:rsidR="00000000" w:rsidRPr="00000000">
                <w:rPr>
                  <w:color w:val="0000ff"/>
                  <w:u w:val="single"/>
                  <w:rtl w:val="0"/>
                </w:rPr>
                <w:t xml:space="preserve">hip@unicef.org</w:t>
              </w:r>
            </w:hyperlink>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F">
            <w:pPr>
              <w:spacing w:before="240" w:lineRule="auto"/>
              <w:jc w:val="both"/>
              <w:rPr/>
            </w:pPr>
            <w:r w:rsidDel="00000000" w:rsidR="00000000" w:rsidRPr="00000000">
              <w:rPr>
                <w:rtl w:val="0"/>
              </w:rPr>
              <w:t xml:space="preserve">20</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0">
            <w:pPr>
              <w:spacing w:before="240" w:lineRule="auto"/>
              <w:jc w:val="both"/>
              <w:rPr/>
            </w:pPr>
            <w:r w:rsidDel="00000000" w:rsidR="00000000" w:rsidRPr="00000000">
              <w:rPr>
                <w:rtl w:val="0"/>
              </w:rPr>
              <w:t xml:space="preserve">MS-NPAN Core Team</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1">
            <w:pPr>
              <w:spacing w:before="240" w:lineRule="auto"/>
              <w:jc w:val="both"/>
              <w:rPr/>
            </w:pPr>
            <w:r w:rsidDel="00000000" w:rsidR="00000000" w:rsidRPr="00000000">
              <w:rPr>
                <w:rtl w:val="0"/>
              </w:rPr>
              <w:t xml:space="preserve">Jonathan Gorstein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2">
            <w:pPr>
              <w:spacing w:before="240" w:lineRule="auto"/>
              <w:jc w:val="both"/>
              <w:rPr/>
            </w:pPr>
            <w:r w:rsidDel="00000000" w:rsidR="00000000" w:rsidRPr="00000000">
              <w:rPr>
                <w:rtl w:val="0"/>
              </w:rPr>
              <w:t xml:space="preserve">jgorstein@sajilosolutions.org</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3">
            <w:pPr>
              <w:spacing w:before="240" w:lineRule="auto"/>
              <w:jc w:val="both"/>
              <w:rPr/>
            </w:pPr>
            <w:r w:rsidDel="00000000" w:rsidR="00000000" w:rsidRPr="00000000">
              <w:rPr>
                <w:rtl w:val="0"/>
              </w:rPr>
              <w:t xml:space="preserve">21</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4">
            <w:pPr>
              <w:spacing w:before="240" w:lineRule="auto"/>
              <w:jc w:val="both"/>
              <w:rPr/>
            </w:pPr>
            <w:r w:rsidDel="00000000" w:rsidR="00000000" w:rsidRPr="00000000">
              <w:rPr>
                <w:rtl w:val="0"/>
              </w:rPr>
              <w:t xml:space="preserve">MS-NPAN Core Team</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5">
            <w:pPr>
              <w:spacing w:before="240" w:lineRule="auto"/>
              <w:jc w:val="both"/>
              <w:rPr/>
            </w:pPr>
            <w:r w:rsidDel="00000000" w:rsidR="00000000" w:rsidRPr="00000000">
              <w:rPr>
                <w:rtl w:val="0"/>
              </w:rPr>
              <w:t xml:space="preserve">Dr San San Myint</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6">
            <w:pPr>
              <w:spacing w:before="240" w:lineRule="auto"/>
              <w:jc w:val="both"/>
              <w:rPr/>
            </w:pPr>
            <w:hyperlink r:id="rId9">
              <w:r w:rsidDel="00000000" w:rsidR="00000000" w:rsidRPr="00000000">
                <w:rPr>
                  <w:color w:val="0000ff"/>
                  <w:u w:val="single"/>
                  <w:rtl w:val="0"/>
                </w:rPr>
                <w:t xml:space="preserve">sansanm@unops.org</w:t>
              </w:r>
            </w:hyperlink>
            <w:r w:rsidDel="00000000" w:rsidR="00000000" w:rsidRPr="00000000">
              <w:rPr>
                <w:rtl w:val="0"/>
              </w:rPr>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7">
            <w:pPr>
              <w:spacing w:before="240" w:lineRule="auto"/>
              <w:jc w:val="both"/>
              <w:rPr/>
            </w:pPr>
            <w:r w:rsidDel="00000000" w:rsidR="00000000" w:rsidRPr="00000000">
              <w:rPr>
                <w:rtl w:val="0"/>
              </w:rPr>
              <w:t xml:space="preserve">22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8">
            <w:pPr>
              <w:spacing w:before="240" w:lineRule="auto"/>
              <w:jc w:val="both"/>
              <w:rPr/>
            </w:pPr>
            <w:r w:rsidDel="00000000" w:rsidR="00000000" w:rsidRPr="00000000">
              <w:rPr>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9">
            <w:pPr>
              <w:spacing w:before="240" w:lineRule="auto"/>
              <w:jc w:val="both"/>
              <w:rPr/>
            </w:pPr>
            <w:r w:rsidDel="00000000" w:rsidR="00000000" w:rsidRPr="00000000">
              <w:rPr>
                <w:rtl w:val="0"/>
              </w:rPr>
              <w:t xml:space="preserve">Swe Lin Maung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A">
            <w:pPr>
              <w:spacing w:before="240" w:lineRule="auto"/>
              <w:jc w:val="both"/>
              <w:rPr/>
            </w:pPr>
            <w:r w:rsidDel="00000000" w:rsidR="00000000" w:rsidRPr="00000000">
              <w:rPr>
                <w:rtl w:val="0"/>
              </w:rPr>
              <w:t xml:space="preserve">SweLinn.Maung@savethechildren.org</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B">
            <w:pPr>
              <w:spacing w:before="240" w:lineRule="auto"/>
              <w:jc w:val="both"/>
              <w:rPr/>
            </w:pPr>
            <w:r w:rsidDel="00000000" w:rsidR="00000000" w:rsidRPr="00000000">
              <w:rPr>
                <w:rtl w:val="0"/>
              </w:rPr>
              <w:t xml:space="preserve">23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C">
            <w:pPr>
              <w:spacing w:before="240" w:lineRule="auto"/>
              <w:jc w:val="both"/>
              <w:rPr/>
            </w:pPr>
            <w:r w:rsidDel="00000000" w:rsidR="00000000" w:rsidRPr="00000000">
              <w:rPr>
                <w:rtl w:val="0"/>
              </w:rPr>
              <w:t xml:space="preserve">FAO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D">
            <w:pPr>
              <w:spacing w:before="240" w:lineRule="auto"/>
              <w:jc w:val="both"/>
              <w:rPr/>
            </w:pPr>
            <w:r w:rsidDel="00000000" w:rsidR="00000000" w:rsidRPr="00000000">
              <w:rPr>
                <w:rtl w:val="0"/>
              </w:rPr>
              <w:t xml:space="preserve"> Anna-Lisa Noack</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E">
            <w:pPr>
              <w:spacing w:before="240" w:lineRule="auto"/>
              <w:jc w:val="both"/>
              <w:rPr/>
            </w:pPr>
            <w:hyperlink r:id="rId10">
              <w:r w:rsidDel="00000000" w:rsidR="00000000" w:rsidRPr="00000000">
                <w:rPr>
                  <w:color w:val="1155cc"/>
                  <w:u w:val="single"/>
                  <w:rtl w:val="0"/>
                </w:rPr>
                <w:t xml:space="preserve">annalisa.noack@fao.org</w:t>
              </w:r>
            </w:hyperlink>
            <w:r w:rsidDel="00000000" w:rsidR="00000000" w:rsidRPr="00000000">
              <w:rPr>
                <w:rtl w:val="0"/>
              </w:rPr>
              <w:t xml:space="preserve"> </w:t>
            </w:r>
          </w:p>
        </w:tc>
      </w:tr>
      <w:tr>
        <w:trPr>
          <w:trHeight w:val="795"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F">
            <w:pPr>
              <w:spacing w:before="240" w:lineRule="auto"/>
              <w:jc w:val="both"/>
              <w:rPr/>
            </w:pPr>
            <w:r w:rsidDel="00000000" w:rsidR="00000000" w:rsidRPr="00000000">
              <w:rPr>
                <w:rtl w:val="0"/>
              </w:rPr>
              <w:t xml:space="preserve">24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0">
            <w:pPr>
              <w:spacing w:before="240" w:lineRule="auto"/>
              <w:jc w:val="both"/>
              <w:rPr/>
            </w:pPr>
            <w:r w:rsidDel="00000000" w:rsidR="00000000" w:rsidRPr="00000000">
              <w:rPr>
                <w:rtl w:val="0"/>
              </w:rPr>
              <w:t xml:space="preserve">MS-NPAN core team</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1">
            <w:pPr>
              <w:spacing w:before="240" w:lineRule="auto"/>
              <w:jc w:val="both"/>
              <w:rPr/>
            </w:pPr>
            <w:r w:rsidDel="00000000" w:rsidR="00000000" w:rsidRPr="00000000">
              <w:rPr>
                <w:rtl w:val="0"/>
              </w:rPr>
              <w:t xml:space="preserve">Dr Ye Naing Win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2">
            <w:pPr>
              <w:spacing w:before="240" w:lineRule="auto"/>
              <w:jc w:val="both"/>
              <w:rPr/>
            </w:pPr>
            <w:r w:rsidDel="00000000" w:rsidR="00000000" w:rsidRPr="00000000">
              <w:rPr>
                <w:rtl w:val="0"/>
              </w:rPr>
              <w:t xml:space="preserve">thomaswang87@gmail.com</w:t>
            </w:r>
          </w:p>
        </w:tc>
      </w:tr>
    </w:tbl>
    <w:p w:rsidR="00000000" w:rsidDel="00000000" w:rsidP="00000000" w:rsidRDefault="00000000" w:rsidRPr="00000000" w14:paraId="000000C3">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b w:val="1"/>
          <w:color w:val="548dd4"/>
          <w:u w:val="single"/>
        </w:rPr>
      </w:pPr>
      <w:r w:rsidDel="00000000" w:rsidR="00000000" w:rsidRPr="00000000">
        <w:rPr>
          <w:rtl w:val="0"/>
        </w:rPr>
      </w:r>
    </w:p>
    <w:sectPr>
      <w:headerReference r:id="rId11" w:type="default"/>
      <w:footerReference r:id="rId12"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3"/>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2"/>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rPr>
        <w:trHeight w:val="1005" w:hRule="atLeast"/>
      </w:trPr>
      <w:tc>
        <w:tcPr/>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pos="4680"/>
              <w:tab w:val="right" w:pos="9360"/>
            </w:tabs>
            <w:ind w:left="86" w:firstLine="0"/>
            <w:rPr>
              <w:b w:val="1"/>
              <w:color w:val="1f497d"/>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pos="4680"/>
              <w:tab w:val="right" w:pos="9360"/>
            </w:tabs>
            <w:ind w:left="3600" w:firstLine="0"/>
            <w:rPr>
              <w:color w:val="1f497d"/>
            </w:rPr>
          </w:pPr>
          <w:r w:rsidDel="00000000" w:rsidR="00000000" w:rsidRPr="00000000">
            <w:rPr>
              <w:color w:val="000000"/>
            </w:rPr>
            <w:drawing>
              <wp:inline distB="0" distT="0" distL="0" distR="0">
                <wp:extent cx="336901" cy="4020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nalisa.noack@fao.org" TargetMode="External"/><Relationship Id="rId12" Type="http://schemas.openxmlformats.org/officeDocument/2006/relationships/footer" Target="footer1.xml"/><Relationship Id="rId9" Type="http://schemas.openxmlformats.org/officeDocument/2006/relationships/hyperlink" Target="mailto:sansanm@unops.org" TargetMode="External"/><Relationship Id="rId5" Type="http://schemas.openxmlformats.org/officeDocument/2006/relationships/styles" Target="styles.xml"/><Relationship Id="rId6" Type="http://schemas.openxmlformats.org/officeDocument/2006/relationships/hyperlink" Target="mailto:ntkyaw@unicef.org" TargetMode="External"/><Relationship Id="rId7" Type="http://schemas.openxmlformats.org/officeDocument/2006/relationships/hyperlink" Target="mailto:Sanda.Lin@savethechildren.org" TargetMode="External"/><Relationship Id="rId8" Type="http://schemas.openxmlformats.org/officeDocument/2006/relationships/hyperlink" Target="mailto:hip@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