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Rule="auto"/>
        <w:jc w:val="center"/>
        <w:rPr>
          <w:rFonts w:ascii="Calibri" w:cs="Calibri" w:eastAsia="Calibri" w:hAnsi="Calibri"/>
          <w:color w:val="0070c0"/>
          <w:sz w:val="22"/>
          <w:szCs w:val="22"/>
        </w:rPr>
      </w:pPr>
      <w:r w:rsidDel="00000000" w:rsidR="00000000" w:rsidRPr="00000000">
        <w:rPr>
          <w:rtl w:val="0"/>
        </w:rPr>
      </w:r>
    </w:p>
    <w:p w:rsidR="00000000" w:rsidDel="00000000" w:rsidP="00000000" w:rsidRDefault="00000000" w:rsidRPr="00000000" w14:paraId="00000002">
      <w:pPr>
        <w:pStyle w:val="Heading1"/>
        <w:spacing w:before="0" w:lineRule="auto"/>
        <w:jc w:val="center"/>
        <w:rPr/>
      </w:pPr>
      <w:r w:rsidDel="00000000" w:rsidR="00000000" w:rsidRPr="00000000">
        <w:rPr>
          <w:rFonts w:ascii="Calibri" w:cs="Calibri" w:eastAsia="Calibri" w:hAnsi="Calibri"/>
          <w:color w:val="0070c0"/>
          <w:sz w:val="22"/>
          <w:szCs w:val="22"/>
          <w:rtl w:val="0"/>
        </w:rPr>
        <w:t xml:space="preserve">Nutrition in Emergency (NiE) SAG meeting, Myanmar</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b w:val="1"/>
          <w:i w:val="1"/>
          <w:rtl w:val="0"/>
        </w:rPr>
        <w:t xml:space="preserve">Zoom meeting, 17</w:t>
      </w:r>
      <w:r w:rsidDel="00000000" w:rsidR="00000000" w:rsidRPr="00000000">
        <w:rPr>
          <w:b w:val="1"/>
          <w:i w:val="1"/>
          <w:vertAlign w:val="superscript"/>
          <w:rtl w:val="0"/>
        </w:rPr>
        <w:t xml:space="preserve">th</w:t>
      </w:r>
      <w:r w:rsidDel="00000000" w:rsidR="00000000" w:rsidRPr="00000000">
        <w:rPr>
          <w:b w:val="1"/>
          <w:i w:val="1"/>
          <w:rtl w:val="0"/>
        </w:rPr>
        <w:t xml:space="preserve"> September 2020, 10:00-11:30AM</w:t>
      </w:r>
      <w:r w:rsidDel="00000000" w:rsidR="00000000" w:rsidRPr="00000000">
        <w:rPr>
          <w:rtl w:val="0"/>
        </w:rPr>
      </w:r>
    </w:p>
    <w:p w:rsidR="00000000" w:rsidDel="00000000" w:rsidP="00000000" w:rsidRDefault="00000000" w:rsidRPr="00000000" w14:paraId="00000004">
      <w:pPr>
        <w:pStyle w:val="Heading1"/>
        <w:spacing w:after="120" w:lineRule="auto"/>
        <w:jc w:val="both"/>
        <w:rPr/>
      </w:pPr>
      <w:r w:rsidDel="00000000" w:rsidR="00000000" w:rsidRPr="00000000">
        <w:rPr>
          <w:rFonts w:ascii="Calibri" w:cs="Calibri" w:eastAsia="Calibri" w:hAnsi="Calibri"/>
          <w:color w:val="0070c0"/>
          <w:sz w:val="22"/>
          <w:szCs w:val="22"/>
          <w:rtl w:val="0"/>
        </w:rPr>
        <w:t xml:space="preserve">Meeting minutes</w:t>
      </w: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Chair</w:t>
      </w:r>
      <w:r w:rsidDel="00000000" w:rsidR="00000000" w:rsidRPr="00000000">
        <w:rPr>
          <w:rtl w:val="0"/>
        </w:rPr>
        <w:t xml:space="preserve">: NNC</w:t>
      </w:r>
    </w:p>
    <w:p w:rsidR="00000000" w:rsidDel="00000000" w:rsidP="00000000" w:rsidRDefault="00000000" w:rsidRPr="00000000" w14:paraId="00000006">
      <w:pPr>
        <w:jc w:val="both"/>
        <w:rPr/>
      </w:pPr>
      <w:r w:rsidDel="00000000" w:rsidR="00000000" w:rsidRPr="00000000">
        <w:rPr>
          <w:b w:val="1"/>
          <w:rtl w:val="0"/>
        </w:rPr>
        <w:t xml:space="preserve">Cochair</w:t>
      </w:r>
      <w:r w:rsidDel="00000000" w:rsidR="00000000" w:rsidRPr="00000000">
        <w:rPr>
          <w:rtl w:val="0"/>
        </w:rPr>
        <w:t xml:space="preserve">: UNICEF</w:t>
      </w:r>
    </w:p>
    <w:p w:rsidR="00000000" w:rsidDel="00000000" w:rsidP="00000000" w:rsidRDefault="00000000" w:rsidRPr="00000000" w14:paraId="00000007">
      <w:pPr>
        <w:jc w:val="both"/>
        <w:rPr/>
      </w:pPr>
      <w:r w:rsidDel="00000000" w:rsidR="00000000" w:rsidRPr="00000000">
        <w:rPr>
          <w:rtl w:val="0"/>
        </w:rPr>
        <w:t xml:space="preserve"> </w:t>
      </w:r>
      <w:r w:rsidDel="00000000" w:rsidR="00000000" w:rsidRPr="00000000">
        <w:rPr>
          <w:b w:val="1"/>
          <w:rtl w:val="0"/>
        </w:rPr>
        <w:t xml:space="preserve">Agenda </w:t>
      </w: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1.</w:t>
      </w:r>
      <w:r w:rsidDel="00000000" w:rsidR="00000000" w:rsidRPr="00000000">
        <w:rPr>
          <w:color w:val="0070c0"/>
          <w:rtl w:val="0"/>
        </w:rPr>
        <w:t xml:space="preserve">           </w:t>
      </w:r>
      <w:r w:rsidDel="00000000" w:rsidR="00000000" w:rsidRPr="00000000">
        <w:rPr>
          <w:rtl w:val="0"/>
        </w:rPr>
        <w:t xml:space="preserve">Welcome remark – Dr Lwin Mar Hlaing</w:t>
      </w:r>
    </w:p>
    <w:p w:rsidR="00000000" w:rsidDel="00000000" w:rsidP="00000000" w:rsidRDefault="00000000" w:rsidRPr="00000000" w14:paraId="00000009">
      <w:pPr>
        <w:spacing w:line="240" w:lineRule="auto"/>
        <w:jc w:val="both"/>
        <w:rPr/>
      </w:pPr>
      <w:r w:rsidDel="00000000" w:rsidR="00000000" w:rsidRPr="00000000">
        <w:rPr>
          <w:rtl w:val="0"/>
        </w:rPr>
        <w:t xml:space="preserve">2.           Brief update of the impact of COVID-19 on nutrition response</w:t>
      </w:r>
    </w:p>
    <w:p w:rsidR="00000000" w:rsidDel="00000000" w:rsidP="00000000" w:rsidRDefault="00000000" w:rsidRPr="00000000" w14:paraId="0000000A">
      <w:pPr>
        <w:spacing w:line="240" w:lineRule="auto"/>
        <w:jc w:val="both"/>
        <w:rPr/>
      </w:pPr>
      <w:r w:rsidDel="00000000" w:rsidR="00000000" w:rsidRPr="00000000">
        <w:rPr>
          <w:rtl w:val="0"/>
        </w:rPr>
        <w:t xml:space="preserve">3.           Proposed plans for maintaining live saving nutrition services in Rakhine during COVID-19-Response </w:t>
      </w:r>
    </w:p>
    <w:p w:rsidR="00000000" w:rsidDel="00000000" w:rsidP="00000000" w:rsidRDefault="00000000" w:rsidRPr="00000000" w14:paraId="0000000B">
      <w:pPr>
        <w:spacing w:line="240" w:lineRule="auto"/>
        <w:jc w:val="both"/>
        <w:rPr/>
      </w:pPr>
      <w:r w:rsidDel="00000000" w:rsidR="00000000" w:rsidRPr="00000000">
        <w:rPr>
          <w:rtl w:val="0"/>
        </w:rPr>
        <w:t xml:space="preserve">(a) H &amp; N Mobile team- NNC/UNICEF/partners, </w:t>
      </w:r>
    </w:p>
    <w:p w:rsidR="00000000" w:rsidDel="00000000" w:rsidP="00000000" w:rsidRDefault="00000000" w:rsidRPr="00000000" w14:paraId="0000000C">
      <w:pPr>
        <w:spacing w:line="240" w:lineRule="auto"/>
        <w:jc w:val="both"/>
        <w:rPr/>
      </w:pPr>
      <w:r w:rsidDel="00000000" w:rsidR="00000000" w:rsidRPr="00000000">
        <w:rPr>
          <w:rtl w:val="0"/>
        </w:rPr>
        <w:t xml:space="preserve">(b) Prepositioning of nutrition supplies RUTF-RUSF: UNICEF/WFP</w:t>
      </w:r>
    </w:p>
    <w:p w:rsidR="00000000" w:rsidDel="00000000" w:rsidP="00000000" w:rsidRDefault="00000000" w:rsidRPr="00000000" w14:paraId="0000000D">
      <w:pPr>
        <w:spacing w:line="240" w:lineRule="auto"/>
        <w:jc w:val="both"/>
        <w:rPr/>
      </w:pPr>
      <w:r w:rsidDel="00000000" w:rsidR="00000000" w:rsidRPr="00000000">
        <w:rPr>
          <w:rtl w:val="0"/>
        </w:rPr>
        <w:t xml:space="preserve">4.           Violation of BMS Codex Alimentarius</w:t>
      </w:r>
    </w:p>
    <w:p w:rsidR="00000000" w:rsidDel="00000000" w:rsidP="00000000" w:rsidRDefault="00000000" w:rsidRPr="00000000" w14:paraId="0000000E">
      <w:pPr>
        <w:spacing w:line="240" w:lineRule="auto"/>
        <w:jc w:val="both"/>
        <w:rPr/>
      </w:pPr>
      <w:r w:rsidDel="00000000" w:rsidR="00000000" w:rsidRPr="00000000">
        <w:rPr>
          <w:rtl w:val="0"/>
        </w:rPr>
        <w:t xml:space="preserve">5.           Preparation for scale up of IMAM in other priority areas</w:t>
      </w:r>
    </w:p>
    <w:p w:rsidR="00000000" w:rsidDel="00000000" w:rsidP="00000000" w:rsidRDefault="00000000" w:rsidRPr="00000000" w14:paraId="0000000F">
      <w:pPr>
        <w:spacing w:line="240" w:lineRule="auto"/>
        <w:jc w:val="both"/>
        <w:rPr/>
      </w:pPr>
      <w:r w:rsidDel="00000000" w:rsidR="00000000" w:rsidRPr="00000000">
        <w:rPr>
          <w:rtl w:val="0"/>
        </w:rPr>
        <w:t xml:space="preserve">6.           AOB </w:t>
      </w:r>
    </w:p>
    <w:p w:rsidR="00000000" w:rsidDel="00000000" w:rsidP="00000000" w:rsidRDefault="00000000" w:rsidRPr="00000000" w14:paraId="00000010">
      <w:pPr>
        <w:spacing w:line="240" w:lineRule="auto"/>
        <w:jc w:val="both"/>
        <w:rPr/>
      </w:pPr>
      <w:r w:rsidDel="00000000" w:rsidR="00000000" w:rsidRPr="00000000">
        <w:rPr>
          <w:rtl w:val="0"/>
        </w:rPr>
        <w:t xml:space="preserve">7.          Closing </w:t>
      </w:r>
    </w:p>
    <w:p w:rsidR="00000000" w:rsidDel="00000000" w:rsidP="00000000" w:rsidRDefault="00000000" w:rsidRPr="00000000" w14:paraId="00000011">
      <w:pPr>
        <w:jc w:val="both"/>
        <w:rPr/>
      </w:pPr>
      <w:r w:rsidDel="00000000" w:rsidR="00000000" w:rsidRPr="00000000">
        <w:rPr>
          <w:color w:val="0070c0"/>
          <w:rtl w:val="0"/>
        </w:rPr>
        <w:t xml:space="preserve"> </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Welcome remark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Dr.Lwin Mar Hlaing from NNC opened the meeting by welcoming and giving appreciation to nutrition partners for their support and contributions to nutrition COVID-19 response.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Brief updates of the impact of COVID-19 on nutrition response</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 shared that all 17 Rakhine townships are in a stay home period and 2 UN and 15 NGO partner staff are being infected with COVID-19. Nutrition activities have been suspended due to COVID-19 and Rakhine SHD is coordinating with authorities and partners for continuation of essential nutrition services. Mobile teams are running to provide essential health and WASH services and negotiations for integration of essential nutrition such as nutrition screening and treatment for acute malnutrition cases are ongoing. Nutrition partners have been distributing monthly RUTF requirements to SAM children. One of the challenges is transportation of supplies (RUTFs) from Sittwe and other townships due to lock down and movement restrictions.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WFP informed that WFP and its partners did not have TA access for nutrition activities in August and September. Hence there has been no admissions in SFP programs since August. Some of the WFP food commodities have expired dates in September and if distributions cannot be performed with granted TA, the supplies will expire in due time.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was shared that there were two MSN-PAN high level meetings on the 17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August. The first meeting was to orient the MSN-PAN program and activities in the context COVID-19 to the minister. The second meeting was an MSN-PAN update session with related departments (i.e, MOHS, Agriculture, Woman and children right department, etc).  It has been planning to start implementation in the targeted states and regions; Shan, Ayeyarwaddy, Chin, Kayar and Kayin. and Rakhine and Kachin would be followed later. However, the plans have been postponed due to the COVID-19 situation.</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Kachin, in coordination with SHD and NST, partners are working for nutrition messages distribution and tabletop exercise for nutrition COVID- 19 response. In Kayin, community Infant and Young Child Feeding (IYCF) counselling services are continuous in two quarantine centres in Hpa-An townships.</w:t>
      </w:r>
    </w:p>
    <w:p w:rsidR="00000000" w:rsidDel="00000000" w:rsidP="00000000" w:rsidRDefault="00000000" w:rsidRPr="00000000" w14:paraId="0000001A">
      <w:pPr>
        <w:jc w:val="both"/>
        <w:rPr/>
      </w:pPr>
      <w:r w:rsidDel="00000000" w:rsidR="00000000" w:rsidRPr="00000000">
        <w:rPr>
          <w:rtl w:val="0"/>
        </w:rPr>
        <w:t xml:space="preserv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Proposed plans for maintaining live saving nutrition services in Rakhine during COVID-19-Response</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H &amp; N Mobile team- NNC/UNICEF/partners</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Following on delivering an orientation session on COVID-19 nutrition guidance notes to Rakhine partners, there has been a development of an alternative plan for delivering essential nutrition services in Rakhine townships. The plan has been developed in coordination with the State Health Department and State Nutrition Team (SNT).  (Please find the details in the attached work plan).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hot line IYCF counselling has recently been introduced by Rakhine nutrition partners in respective implementing areas.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NNC appreciated the initiatives and encouraged partners to maintain coordination with SNT.</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Prepositioning of nutrition supplies RUTF-RUSF: UNICEF/WFP</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 has prepositioned 600 cartons of RUTF at Sittwe ACF warehouse. RUTF distributions (for monthly consumption) were done to all SAM cases and coordination with local partners, volunteers and health staff is ongoing for preparation and distributions in October.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WFP is coordinating with its Supply unit and Rakhine field colleagues for preparation of SFP program and other preposition supplies for estimated requirements till December 2020. WFP shared that there would be a challenge for transportation and relocation of the prepositioned supplies which have close expired dates to other States and Regions if the TA is not being able to be granted in Rakhine.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Given that WFP does not yet have the LOA with MOHS to be able to make distributions of supplies to health facilities, it is suggested to prepare and submit a LOA request letter to MOHS. WFP will follow up for this with donors and MOHS accordingly. </w:t>
      </w:r>
    </w:p>
    <w:p w:rsidR="00000000" w:rsidDel="00000000" w:rsidP="00000000" w:rsidRDefault="00000000" w:rsidRPr="00000000" w14:paraId="00000026">
      <w:pPr>
        <w:ind w:left="360" w:firstLine="0"/>
        <w:jc w:val="both"/>
        <w:rPr/>
      </w:pPr>
      <w:r w:rsidDel="00000000" w:rsidR="00000000" w:rsidRPr="00000000">
        <w:rPr>
          <w:rtl w:val="0"/>
        </w:rPr>
        <w:t xml:space="preserv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Violation of BMS Codex Alimentarius</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was shared that recently there was an update from the Regional regarding the violation of BMS in Cambodia. It was reported that six batches of one of BMS companies’(Nutrilatt) products were found with very low iron and zinc contents. In Myanmar, NNC, FDA, WHO and UNICEF have also been coordinating for the BMS control.</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was discussed that regular quality testing and monitoring of labelling need to be done to also other brands in markets. Moreover, advocacies for control measures and actions on violations are to be performed and to be sensitive for mentioning brands as it could promote them in other ways.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NNC shared that in principle, all products are tested and certified by FDA. NNC could also be able to perform the quality testing of minerals at its laboratory next month. If needed, UNICEF would provide necessary support for the international testing in coordination with the regional office.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was proposed to have a BMS coordination meeting with the technical working group (TWG) in the third week of October 2020. NNC will follow up with the DG for the meeting and UNICEF will facilitate and coordinate with NNC for drafting the meeting agenda and preparation. </w:t>
      </w:r>
    </w:p>
    <w:p w:rsidR="00000000" w:rsidDel="00000000" w:rsidP="00000000" w:rsidRDefault="00000000" w:rsidRPr="00000000" w14:paraId="0000002D">
      <w:pPr>
        <w:jc w:val="both"/>
        <w:rPr/>
      </w:pPr>
      <w:r w:rsidDel="00000000" w:rsidR="00000000" w:rsidRPr="00000000">
        <w:rPr>
          <w:rtl w:val="0"/>
        </w:rPr>
        <w:t xml:space="preserve">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Preparation for scale up of IMAM in other priority areas</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was shared that as per discussion at the IMAM review meeting, one of the concern challenges is limited supplies, especially RUSF for the SPF program. There is a plan of developing a joint proposal by WFP and UNICEF for supporting RUSF and RUTF for the IMAM roll out in 2021.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NNC discussed that it is needed to have sustainable and adequate supplies for continuation of the current IMAM roll out areas but also to expand remaining states and regions. Generally, MAM prevalence is higher than SAM and it is more in need of RUSF. A2H would support some RUSF to the States.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WFP shared that currently WFP is supporting SFP programs in some townships in Rakhine and Yangon. WFP is developing LOA with MOSH, NNC for expansion of support in 2021. But also, WFP would consider increasing SFP program coverage based on new partner requests in 2021. WPF is supporting a total 80 MT of RUSF for Magway (20MT), Rakhine and Yangon (60MT for Rakhine and Yangon) MOHS IMAM roll out.</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order to coordinate and prepare for the 2021 supply plan, a meeting with NNC, A2H, WFP and UNICEF was proposed to be held in October 2020 (Date to be confirmed).</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AOB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Nil</w:t>
      </w:r>
    </w:p>
    <w:p w:rsidR="00000000" w:rsidDel="00000000" w:rsidP="00000000" w:rsidRDefault="00000000" w:rsidRPr="00000000" w14:paraId="00000035">
      <w:pPr>
        <w:jc w:val="both"/>
        <w:rPr/>
      </w:pPr>
      <w:r w:rsidDel="00000000" w:rsidR="00000000" w:rsidRPr="00000000">
        <w:rPr>
          <w:rtl w:val="0"/>
        </w:rPr>
        <w:t xml:space="preserve">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Closing </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Dr.Lwin Mar, NNC thanked the participants for their attendances and discussions. The meeting was closed at 11:00 AM.  </w:t>
      </w:r>
    </w:p>
    <w:p w:rsidR="00000000" w:rsidDel="00000000" w:rsidP="00000000" w:rsidRDefault="00000000" w:rsidRPr="00000000" w14:paraId="00000038">
      <w:pPr>
        <w:jc w:val="both"/>
        <w:rPr>
          <w:b w:val="1"/>
          <w:i w:val="1"/>
          <w:u w:val="single"/>
        </w:rPr>
      </w:pPr>
      <w:r w:rsidDel="00000000" w:rsidR="00000000" w:rsidRPr="00000000">
        <w:rPr>
          <w:rtl w:val="0"/>
        </w:rPr>
      </w:r>
    </w:p>
    <w:p w:rsidR="00000000" w:rsidDel="00000000" w:rsidP="00000000" w:rsidRDefault="00000000" w:rsidRPr="00000000" w14:paraId="00000039">
      <w:pPr>
        <w:jc w:val="both"/>
        <w:rPr>
          <w:b w:val="1"/>
          <w:i w:val="1"/>
          <w:u w:val="single"/>
        </w:rPr>
      </w:pPr>
      <w:r w:rsidDel="00000000" w:rsidR="00000000" w:rsidRPr="00000000">
        <w:rPr>
          <w:rtl w:val="0"/>
        </w:rPr>
      </w:r>
    </w:p>
    <w:p w:rsidR="00000000" w:rsidDel="00000000" w:rsidP="00000000" w:rsidRDefault="00000000" w:rsidRPr="00000000" w14:paraId="0000003A">
      <w:pPr>
        <w:jc w:val="both"/>
        <w:rPr>
          <w:b w:val="1"/>
          <w:i w:val="1"/>
          <w:u w:val="single"/>
        </w:rPr>
      </w:pPr>
      <w:r w:rsidDel="00000000" w:rsidR="00000000" w:rsidRPr="00000000">
        <w:rPr>
          <w:rtl w:val="0"/>
        </w:rPr>
      </w:r>
    </w:p>
    <w:p w:rsidR="00000000" w:rsidDel="00000000" w:rsidP="00000000" w:rsidRDefault="00000000" w:rsidRPr="00000000" w14:paraId="0000003B">
      <w:pPr>
        <w:jc w:val="both"/>
        <w:rPr>
          <w:b w:val="1"/>
          <w:i w:val="1"/>
          <w:u w:val="single"/>
        </w:rPr>
      </w:pPr>
      <w:r w:rsidDel="00000000" w:rsidR="00000000" w:rsidRPr="00000000">
        <w:rPr>
          <w:rtl w:val="0"/>
        </w:rPr>
      </w:r>
    </w:p>
    <w:p w:rsidR="00000000" w:rsidDel="00000000" w:rsidP="00000000" w:rsidRDefault="00000000" w:rsidRPr="00000000" w14:paraId="0000003C">
      <w:pPr>
        <w:jc w:val="both"/>
        <w:rPr>
          <w:b w:val="1"/>
          <w:i w:val="1"/>
          <w:u w:val="single"/>
        </w:rPr>
      </w:pPr>
      <w:r w:rsidDel="00000000" w:rsidR="00000000" w:rsidRPr="00000000">
        <w:rPr>
          <w:rtl w:val="0"/>
        </w:rPr>
      </w:r>
    </w:p>
    <w:p w:rsidR="00000000" w:rsidDel="00000000" w:rsidP="00000000" w:rsidRDefault="00000000" w:rsidRPr="00000000" w14:paraId="0000003D">
      <w:pPr>
        <w:jc w:val="both"/>
        <w:rPr>
          <w:b w:val="1"/>
          <w:i w:val="1"/>
          <w:u w:val="single"/>
        </w:rPr>
      </w:pPr>
      <w:r w:rsidDel="00000000" w:rsidR="00000000" w:rsidRPr="00000000">
        <w:rPr>
          <w:rtl w:val="0"/>
        </w:rPr>
      </w:r>
    </w:p>
    <w:p w:rsidR="00000000" w:rsidDel="00000000" w:rsidP="00000000" w:rsidRDefault="00000000" w:rsidRPr="00000000" w14:paraId="0000003E">
      <w:pPr>
        <w:jc w:val="both"/>
        <w:rPr>
          <w:b w:val="1"/>
          <w:i w:val="1"/>
          <w:u w:val="single"/>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b w:val="1"/>
          <w:i w:val="1"/>
          <w:u w:val="single"/>
          <w:rtl w:val="0"/>
        </w:rPr>
        <w:t xml:space="preserve">Action Points</w:t>
      </w:r>
      <w:r w:rsidDel="00000000" w:rsidR="00000000" w:rsidRPr="00000000">
        <w:rPr>
          <w:rtl w:val="0"/>
        </w:rPr>
      </w:r>
    </w:p>
    <w:tbl>
      <w:tblPr>
        <w:tblStyle w:val="Table1"/>
        <w:tblW w:w="9006.0" w:type="dxa"/>
        <w:jc w:val="left"/>
        <w:tblInd w:w="0.0" w:type="dxa"/>
        <w:tblLayout w:type="fixed"/>
        <w:tblLook w:val="0400"/>
      </w:tblPr>
      <w:tblGrid>
        <w:gridCol w:w="529"/>
        <w:gridCol w:w="6572"/>
        <w:gridCol w:w="1905"/>
        <w:tblGridChange w:id="0">
          <w:tblGrid>
            <w:gridCol w:w="529"/>
            <w:gridCol w:w="6572"/>
            <w:gridCol w:w="1905"/>
          </w:tblGrid>
        </w:tblGridChange>
      </w:tblGrid>
      <w:tr>
        <w:trPr>
          <w:trHeight w:val="302" w:hRule="atLeast"/>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0">
            <w:pPr>
              <w:jc w:val="center"/>
              <w:rPr/>
            </w:pPr>
            <w:r w:rsidDel="00000000" w:rsidR="00000000" w:rsidRPr="00000000">
              <w:rPr>
                <w:rtl w:val="0"/>
              </w:rPr>
              <w:t xml:space="preserve"> </w:t>
            </w:r>
            <w:r w:rsidDel="00000000" w:rsidR="00000000" w:rsidRPr="00000000">
              <w:rPr>
                <w:b w:val="1"/>
                <w:rtl w:val="0"/>
              </w:rPr>
              <w:t xml:space="preserve">No</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1">
            <w:pPr>
              <w:jc w:val="center"/>
              <w:rPr/>
            </w:pPr>
            <w:r w:rsidDel="00000000" w:rsidR="00000000" w:rsidRPr="00000000">
              <w:rPr>
                <w:b w:val="1"/>
                <w:rtl w:val="0"/>
              </w:rPr>
              <w:t xml:space="preserve">Action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2">
            <w:pPr>
              <w:jc w:val="center"/>
              <w:rPr/>
            </w:pPr>
            <w:r w:rsidDel="00000000" w:rsidR="00000000" w:rsidRPr="00000000">
              <w:rPr>
                <w:b w:val="1"/>
                <w:rtl w:val="0"/>
              </w:rPr>
              <w:t xml:space="preserve">Responsible by</w:t>
            </w:r>
            <w:r w:rsidDel="00000000" w:rsidR="00000000" w:rsidRPr="00000000">
              <w:rPr>
                <w:rtl w:val="0"/>
              </w:rPr>
            </w:r>
          </w:p>
        </w:tc>
      </w:tr>
      <w:tr>
        <w:trPr>
          <w:trHeight w:val="302" w:hRule="atLeast"/>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3">
            <w:pPr>
              <w:jc w:val="center"/>
              <w:rPr/>
            </w:pPr>
            <w:r w:rsidDel="00000000" w:rsidR="00000000" w:rsidRPr="00000000">
              <w:rPr>
                <w:rtl w:val="0"/>
              </w:rPr>
              <w:t xml:space="preserve"> 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4">
            <w:pPr>
              <w:rPr/>
            </w:pPr>
            <w:r w:rsidDel="00000000" w:rsidR="00000000" w:rsidRPr="00000000">
              <w:rPr>
                <w:rtl w:val="0"/>
              </w:rPr>
              <w:t xml:space="preserve">WFP is coordinating with its Supply unit and Rakhine field colleagues for preparation of SFP program and other preposition supplies for estimated requirement till December 2020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5">
            <w:pPr>
              <w:rPr/>
            </w:pPr>
            <w:r w:rsidDel="00000000" w:rsidR="00000000" w:rsidRPr="00000000">
              <w:rPr>
                <w:rtl w:val="0"/>
              </w:rPr>
              <w:t xml:space="preserve">WFP</w:t>
            </w:r>
          </w:p>
        </w:tc>
      </w:tr>
      <w:tr>
        <w:trPr>
          <w:trHeight w:val="314" w:hRule="atLeast"/>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6">
            <w:pPr>
              <w:jc w:val="both"/>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7">
            <w:pPr>
              <w:jc w:val="both"/>
              <w:rPr/>
            </w:pPr>
            <w:r w:rsidDel="00000000" w:rsidR="00000000" w:rsidRPr="00000000">
              <w:rPr>
                <w:rtl w:val="0"/>
              </w:rPr>
              <w:t xml:space="preserve">WFP will develop a LOA with MOHS to be able to make distributions of supplies (RUSF) to health facilities, WFP follow up for this with donors and MOHS accordingly.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8">
            <w:pPr>
              <w:jc w:val="both"/>
              <w:rPr/>
            </w:pPr>
            <w:r w:rsidDel="00000000" w:rsidR="00000000" w:rsidRPr="00000000">
              <w:rPr>
                <w:rtl w:val="0"/>
              </w:rPr>
              <w:t xml:space="preserve">WFP</w:t>
            </w:r>
          </w:p>
        </w:tc>
      </w:tr>
      <w:tr>
        <w:trPr>
          <w:trHeight w:val="314" w:hRule="atLeast"/>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9">
            <w:pPr>
              <w:jc w:val="both"/>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A">
            <w:pPr>
              <w:jc w:val="both"/>
              <w:rPr/>
            </w:pPr>
            <w:r w:rsidDel="00000000" w:rsidR="00000000" w:rsidRPr="00000000">
              <w:rPr>
                <w:rtl w:val="0"/>
              </w:rPr>
              <w:t xml:space="preserve">It was proposed to have a BMS coordination meeting with the technical working group (TWG) in the third week of October 2020. NNC will follow up with the DG for the meeting and UNICEF will facilitate and coordinate with NNC for drafting the meeting agenda and preparation.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B">
            <w:pPr>
              <w:jc w:val="both"/>
              <w:rPr/>
            </w:pPr>
            <w:r w:rsidDel="00000000" w:rsidR="00000000" w:rsidRPr="00000000">
              <w:rPr>
                <w:rtl w:val="0"/>
              </w:rPr>
              <w:t xml:space="preserve">NNC and UNICEF</w:t>
            </w:r>
          </w:p>
        </w:tc>
      </w:tr>
      <w:tr>
        <w:trPr>
          <w:trHeight w:val="302" w:hRule="atLeast"/>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C">
            <w:pPr>
              <w:jc w:val="both"/>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D">
            <w:pPr>
              <w:jc w:val="both"/>
              <w:rPr/>
            </w:pPr>
            <w:r w:rsidDel="00000000" w:rsidR="00000000" w:rsidRPr="00000000">
              <w:rPr>
                <w:rtl w:val="0"/>
              </w:rPr>
              <w:t xml:space="preserve">It was proposed to have a BMS coordination meeting with the technical working group (TWG) in the third week of October 2020. NNC will follow up with the DG for the meeting and UNICEF will facilitate and coordinate with NNC for drafting the meeting agenda and preparation</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E">
            <w:pPr>
              <w:jc w:val="both"/>
              <w:rPr/>
            </w:pPr>
            <w:r w:rsidDel="00000000" w:rsidR="00000000" w:rsidRPr="00000000">
              <w:rPr>
                <w:rtl w:val="0"/>
              </w:rPr>
              <w:t xml:space="preserve">NNC and UNICEF</w:t>
            </w:r>
          </w:p>
        </w:tc>
      </w:tr>
      <w:tr>
        <w:trPr>
          <w:trHeight w:val="302" w:hRule="atLeast"/>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F">
            <w:pPr>
              <w:jc w:val="both"/>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0">
            <w:pPr>
              <w:jc w:val="both"/>
              <w:rPr/>
            </w:pPr>
            <w:bookmarkStart w:colFirst="0" w:colLast="0" w:name="_gjdgxs" w:id="0"/>
            <w:bookmarkEnd w:id="0"/>
            <w:r w:rsidDel="00000000" w:rsidR="00000000" w:rsidRPr="00000000">
              <w:rPr>
                <w:rtl w:val="0"/>
              </w:rPr>
              <w:t xml:space="preserve">In order to coordinate and prepare for the 2021 supply plan, a meeting with NNC, A2H, WFP and UNICEF was proposed to be held in October 2020 (Date to be confirmed).</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1">
            <w:pPr>
              <w:jc w:val="both"/>
              <w:rPr/>
            </w:pPr>
            <w:r w:rsidDel="00000000" w:rsidR="00000000" w:rsidRPr="00000000">
              <w:rPr>
                <w:rtl w:val="0"/>
              </w:rPr>
              <w:t xml:space="preserve">NNC and partners </w:t>
            </w:r>
          </w:p>
        </w:tc>
      </w:tr>
    </w:tbl>
    <w:p w:rsidR="00000000" w:rsidDel="00000000" w:rsidP="00000000" w:rsidRDefault="00000000" w:rsidRPr="00000000" w14:paraId="00000052">
      <w:pPr>
        <w:jc w:val="both"/>
        <w:rPr/>
      </w:pPr>
      <w:r w:rsidDel="00000000" w:rsidR="00000000" w:rsidRPr="00000000">
        <w:rPr>
          <w:rtl w:val="0"/>
        </w:rPr>
        <w:t xml:space="preserve"> </w:t>
      </w:r>
    </w:p>
    <w:p w:rsidR="00000000" w:rsidDel="00000000" w:rsidP="00000000" w:rsidRDefault="00000000" w:rsidRPr="00000000" w14:paraId="00000053">
      <w:pPr>
        <w:jc w:val="both"/>
        <w:rPr/>
      </w:pPr>
      <w:r w:rsidDel="00000000" w:rsidR="00000000" w:rsidRPr="00000000">
        <w:rPr>
          <w:b w:val="1"/>
          <w:color w:val="000000"/>
          <w:u w:val="single"/>
          <w:rtl w:val="0"/>
        </w:rPr>
        <w:t xml:space="preserve">Participants</w:t>
      </w:r>
      <w:r w:rsidDel="00000000" w:rsidR="00000000" w:rsidRPr="00000000">
        <w:rPr>
          <w:rtl w:val="0"/>
        </w:rPr>
      </w:r>
    </w:p>
    <w:tbl>
      <w:tblPr>
        <w:tblStyle w:val="Table2"/>
        <w:tblW w:w="8985.0" w:type="dxa"/>
        <w:jc w:val="left"/>
        <w:tblInd w:w="0.0" w:type="dxa"/>
        <w:tblLayout w:type="fixed"/>
        <w:tblLook w:val="0400"/>
      </w:tblPr>
      <w:tblGrid>
        <w:gridCol w:w="584"/>
        <w:gridCol w:w="1948"/>
        <w:gridCol w:w="2521"/>
        <w:gridCol w:w="3932"/>
        <w:tblGridChange w:id="0">
          <w:tblGrid>
            <w:gridCol w:w="584"/>
            <w:gridCol w:w="1948"/>
            <w:gridCol w:w="2521"/>
            <w:gridCol w:w="3932"/>
          </w:tblGrid>
        </w:tblGridChange>
      </w:tblGrid>
      <w:tr>
        <w:trPr>
          <w:trHeight w:val="219"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4">
            <w:pPr>
              <w:spacing w:before="240" w:lineRule="auto"/>
              <w:jc w:val="center"/>
              <w:rPr/>
            </w:pPr>
            <w:r w:rsidDel="00000000" w:rsidR="00000000" w:rsidRPr="00000000">
              <w:rPr>
                <w:b w:val="1"/>
                <w:i w:val="1"/>
                <w:color w:val="000000"/>
                <w:rtl w:val="0"/>
              </w:rPr>
              <w:t xml:space="preserve">No</w:t>
            </w:r>
            <w:r w:rsidDel="00000000" w:rsidR="00000000" w:rsidRPr="00000000">
              <w:rPr>
                <w:rtl w:val="0"/>
              </w:rPr>
            </w:r>
          </w:p>
        </w:tc>
        <w:tc>
          <w:tcPr>
            <w:tcBorders>
              <w:top w:color="0070c0" w:space="0" w:sz="8" w:val="single"/>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5">
            <w:pPr>
              <w:spacing w:before="240" w:lineRule="auto"/>
              <w:jc w:val="center"/>
              <w:rPr/>
            </w:pPr>
            <w:r w:rsidDel="00000000" w:rsidR="00000000" w:rsidRPr="00000000">
              <w:rPr>
                <w:b w:val="1"/>
                <w:i w:val="1"/>
                <w:color w:val="000000"/>
                <w:rtl w:val="0"/>
              </w:rPr>
              <w:t xml:space="preserve">Organisation</w:t>
            </w:r>
            <w:r w:rsidDel="00000000" w:rsidR="00000000" w:rsidRPr="00000000">
              <w:rPr>
                <w:rtl w:val="0"/>
              </w:rPr>
            </w:r>
          </w:p>
        </w:tc>
        <w:tc>
          <w:tcPr>
            <w:tcBorders>
              <w:top w:color="0070c0" w:space="0" w:sz="8" w:val="single"/>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6">
            <w:pPr>
              <w:spacing w:before="240" w:lineRule="auto"/>
              <w:jc w:val="center"/>
              <w:rPr/>
            </w:pPr>
            <w:r w:rsidDel="00000000" w:rsidR="00000000" w:rsidRPr="00000000">
              <w:rPr>
                <w:b w:val="1"/>
                <w:i w:val="1"/>
                <w:color w:val="000000"/>
                <w:rtl w:val="0"/>
              </w:rPr>
              <w:t xml:space="preserve">Name of participant</w:t>
            </w:r>
            <w:r w:rsidDel="00000000" w:rsidR="00000000" w:rsidRPr="00000000">
              <w:rPr>
                <w:rtl w:val="0"/>
              </w:rPr>
            </w:r>
          </w:p>
        </w:tc>
        <w:tc>
          <w:tcPr>
            <w:tcBorders>
              <w:top w:color="0070c0" w:space="0" w:sz="8" w:val="single"/>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7">
            <w:pPr>
              <w:spacing w:before="240" w:lineRule="auto"/>
              <w:jc w:val="center"/>
              <w:rPr/>
            </w:pPr>
            <w:r w:rsidDel="00000000" w:rsidR="00000000" w:rsidRPr="00000000">
              <w:rPr>
                <w:b w:val="1"/>
                <w:i w:val="1"/>
                <w:color w:val="000000"/>
                <w:rtl w:val="0"/>
              </w:rPr>
              <w:t xml:space="preserve">Email address</w:t>
            </w:r>
            <w:r w:rsidDel="00000000" w:rsidR="00000000" w:rsidRPr="00000000">
              <w:rPr>
                <w:rtl w:val="0"/>
              </w:rPr>
            </w:r>
          </w:p>
        </w:tc>
      </w:tr>
      <w:tr>
        <w:trPr>
          <w:trHeight w:val="241"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8">
            <w:pPr>
              <w:spacing w:before="240" w:lineRule="auto"/>
              <w:jc w:val="both"/>
              <w:rPr/>
            </w:pPr>
            <w:r w:rsidDel="00000000" w:rsidR="00000000" w:rsidRPr="00000000">
              <w:rPr>
                <w:color w:val="000000"/>
                <w:rtl w:val="0"/>
              </w:rPr>
              <w:t xml:space="preserve">1</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9">
            <w:pPr>
              <w:spacing w:before="240" w:lineRule="auto"/>
              <w:jc w:val="both"/>
              <w:rPr/>
            </w:pPr>
            <w:r w:rsidDel="00000000" w:rsidR="00000000" w:rsidRPr="00000000">
              <w:rPr>
                <w:rtl w:val="0"/>
              </w:rPr>
              <w:t xml:space="preserve">NNC</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A">
            <w:pPr>
              <w:spacing w:before="240" w:lineRule="auto"/>
              <w:jc w:val="both"/>
              <w:rPr/>
            </w:pPr>
            <w:r w:rsidDel="00000000" w:rsidR="00000000" w:rsidRPr="00000000">
              <w:rPr>
                <w:rtl w:val="0"/>
              </w:rPr>
              <w:t xml:space="preserve">Dr.Lwin Mar Hlaing</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B">
            <w:pPr>
              <w:spacing w:before="240" w:lineRule="auto"/>
              <w:jc w:val="both"/>
              <w:rPr/>
            </w:pPr>
            <w:r w:rsidDel="00000000" w:rsidR="00000000" w:rsidRPr="00000000">
              <w:rPr>
                <w:rtl w:val="0"/>
              </w:rPr>
              <w:t xml:space="preserve">lwinmarhlaing@mohs.gov.mm </w:t>
            </w:r>
          </w:p>
        </w:tc>
      </w:tr>
      <w:tr>
        <w:trPr>
          <w:trHeight w:val="359"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C">
            <w:pPr>
              <w:spacing w:before="240" w:lineRule="auto"/>
              <w:jc w:val="both"/>
              <w:rPr/>
            </w:pPr>
            <w:r w:rsidDel="00000000" w:rsidR="00000000" w:rsidRPr="00000000">
              <w:rPr>
                <w:color w:val="000000"/>
                <w:rtl w:val="0"/>
              </w:rPr>
              <w:t xml:space="preserve">2</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D">
            <w:pPr>
              <w:spacing w:before="240" w:lineRule="auto"/>
              <w:jc w:val="both"/>
              <w:rPr/>
            </w:pPr>
            <w:r w:rsidDel="00000000" w:rsidR="00000000" w:rsidRPr="00000000">
              <w:rPr>
                <w:color w:val="000000"/>
                <w:rtl w:val="0"/>
              </w:rPr>
              <w:t xml:space="preserve">WFP</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E">
            <w:pPr>
              <w:spacing w:before="240" w:lineRule="auto"/>
              <w:jc w:val="both"/>
              <w:rPr/>
            </w:pPr>
            <w:r w:rsidDel="00000000" w:rsidR="00000000" w:rsidRPr="00000000">
              <w:rPr>
                <w:rtl w:val="0"/>
              </w:rPr>
              <w:t xml:space="preserve">Chaw Su Su Khaing</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F">
            <w:pPr>
              <w:spacing w:before="240" w:lineRule="auto"/>
              <w:jc w:val="both"/>
              <w:rPr/>
            </w:pPr>
            <w:r w:rsidDel="00000000" w:rsidR="00000000" w:rsidRPr="00000000">
              <w:rPr>
                <w:color w:val="000000"/>
                <w:rtl w:val="0"/>
              </w:rPr>
              <w:t xml:space="preserve">chawsusu.khaing@wfp.org@wfp.org</w:t>
            </w:r>
            <w:r w:rsidDel="00000000" w:rsidR="00000000" w:rsidRPr="00000000">
              <w:rPr>
                <w:rtl w:val="0"/>
              </w:rPr>
            </w:r>
          </w:p>
        </w:tc>
      </w:tr>
      <w:tr>
        <w:trPr>
          <w:trHeight w:val="254"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0">
            <w:pPr>
              <w:spacing w:before="240" w:lineRule="auto"/>
              <w:jc w:val="both"/>
              <w:rPr/>
            </w:pPr>
            <w:r w:rsidDel="00000000" w:rsidR="00000000" w:rsidRPr="00000000">
              <w:rPr>
                <w:color w:val="000000"/>
                <w:rtl w:val="0"/>
              </w:rPr>
              <w:t xml:space="preserve">3</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1">
            <w:pPr>
              <w:spacing w:before="240" w:lineRule="auto"/>
              <w:jc w:val="both"/>
              <w:rPr/>
            </w:pPr>
            <w:r w:rsidDel="00000000" w:rsidR="00000000" w:rsidRPr="00000000">
              <w:rPr>
                <w:color w:val="000000"/>
                <w:rtl w:val="0"/>
              </w:rPr>
              <w:t xml:space="preserve">WFP</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2">
            <w:pPr>
              <w:spacing w:before="240" w:lineRule="auto"/>
              <w:jc w:val="both"/>
              <w:rPr/>
            </w:pPr>
            <w:r w:rsidDel="00000000" w:rsidR="00000000" w:rsidRPr="00000000">
              <w:rPr>
                <w:color w:val="000000"/>
                <w:rtl w:val="0"/>
              </w:rPr>
              <w:t xml:space="preserve">Melody Muchimwe</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3">
            <w:pPr>
              <w:spacing w:before="240" w:lineRule="auto"/>
              <w:jc w:val="both"/>
              <w:rPr/>
            </w:pPr>
            <w:r w:rsidDel="00000000" w:rsidR="00000000" w:rsidRPr="00000000">
              <w:rPr>
                <w:color w:val="000000"/>
                <w:rtl w:val="0"/>
              </w:rPr>
              <w:t xml:space="preserve">melody.muchimwe@wfp.org</w:t>
            </w:r>
            <w:r w:rsidDel="00000000" w:rsidR="00000000" w:rsidRPr="00000000">
              <w:rPr>
                <w:rtl w:val="0"/>
              </w:rPr>
            </w:r>
          </w:p>
        </w:tc>
      </w:tr>
      <w:tr>
        <w:trPr>
          <w:trHeight w:val="156"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4">
            <w:pPr>
              <w:spacing w:before="240" w:lineRule="auto"/>
              <w:jc w:val="both"/>
              <w:rPr/>
            </w:pPr>
            <w:r w:rsidDel="00000000" w:rsidR="00000000" w:rsidRPr="00000000">
              <w:rPr>
                <w:color w:val="000000"/>
                <w:rtl w:val="0"/>
              </w:rPr>
              <w:t xml:space="preserve">4</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5">
            <w:pPr>
              <w:spacing w:before="240" w:lineRule="auto"/>
              <w:jc w:val="both"/>
              <w:rPr/>
            </w:pPr>
            <w:r w:rsidDel="00000000" w:rsidR="00000000" w:rsidRPr="00000000">
              <w:rPr>
                <w:color w:val="000000"/>
                <w:rtl w:val="0"/>
              </w:rPr>
              <w:t xml:space="preserve">WFP</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6">
            <w:pPr>
              <w:spacing w:before="240" w:lineRule="auto"/>
              <w:jc w:val="both"/>
              <w:rPr/>
            </w:pPr>
            <w:r w:rsidDel="00000000" w:rsidR="00000000" w:rsidRPr="00000000">
              <w:rPr>
                <w:color w:val="000000"/>
                <w:rtl w:val="0"/>
              </w:rPr>
              <w:t xml:space="preserve">Fumito</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7">
            <w:pPr>
              <w:spacing w:before="240" w:lineRule="auto"/>
              <w:jc w:val="both"/>
              <w:rPr/>
            </w:pPr>
            <w:r w:rsidDel="00000000" w:rsidR="00000000" w:rsidRPr="00000000">
              <w:rPr>
                <w:color w:val="000000"/>
                <w:rtl w:val="0"/>
              </w:rPr>
              <w:t xml:space="preserve">fumito.morinaga@wfp.org</w:t>
            </w:r>
            <w:r w:rsidDel="00000000" w:rsidR="00000000" w:rsidRPr="00000000">
              <w:rPr>
                <w:rtl w:val="0"/>
              </w:rPr>
            </w:r>
          </w:p>
        </w:tc>
      </w:tr>
      <w:tr>
        <w:trPr>
          <w:trHeight w:val="273"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8">
            <w:pPr>
              <w:spacing w:before="240" w:lineRule="auto"/>
              <w:jc w:val="both"/>
              <w:rPr/>
            </w:pPr>
            <w:r w:rsidDel="00000000" w:rsidR="00000000" w:rsidRPr="00000000">
              <w:rPr>
                <w:color w:val="000000"/>
                <w:rtl w:val="0"/>
              </w:rPr>
              <w:t xml:space="preserve">5</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9">
            <w:pPr>
              <w:spacing w:before="240" w:lineRule="auto"/>
              <w:jc w:val="both"/>
              <w:rPr/>
            </w:pPr>
            <w:r w:rsidDel="00000000" w:rsidR="00000000" w:rsidRPr="00000000">
              <w:rPr>
                <w:color w:val="000000"/>
                <w:rtl w:val="0"/>
              </w:rPr>
              <w:t xml:space="preserve">SUN UNN</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A">
            <w:pPr>
              <w:spacing w:before="240" w:lineRule="auto"/>
              <w:jc w:val="both"/>
              <w:rPr/>
            </w:pPr>
            <w:r w:rsidDel="00000000" w:rsidR="00000000" w:rsidRPr="00000000">
              <w:rPr>
                <w:color w:val="000000"/>
                <w:rtl w:val="0"/>
              </w:rPr>
              <w:t xml:space="preserve">Kyaw Min Thu</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B">
            <w:pPr>
              <w:spacing w:before="240" w:lineRule="auto"/>
              <w:jc w:val="both"/>
              <w:rPr/>
            </w:pPr>
            <w:r w:rsidDel="00000000" w:rsidR="00000000" w:rsidRPr="00000000">
              <w:rPr>
                <w:color w:val="000000"/>
                <w:rtl w:val="0"/>
              </w:rPr>
              <w:t xml:space="preserve">kyawmin.thu@wfp.org</w:t>
            </w:r>
            <w:r w:rsidDel="00000000" w:rsidR="00000000" w:rsidRPr="00000000">
              <w:rPr>
                <w:rtl w:val="0"/>
              </w:rPr>
            </w:r>
          </w:p>
        </w:tc>
      </w:tr>
      <w:tr>
        <w:trPr>
          <w:trHeight w:val="359"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C">
            <w:pPr>
              <w:spacing w:before="240" w:lineRule="auto"/>
              <w:jc w:val="both"/>
              <w:rPr/>
            </w:pPr>
            <w:r w:rsidDel="00000000" w:rsidR="00000000" w:rsidRPr="00000000">
              <w:rPr>
                <w:color w:val="000000"/>
                <w:rtl w:val="0"/>
              </w:rPr>
              <w:t xml:space="preserve">6</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D">
            <w:pPr>
              <w:spacing w:before="240" w:lineRule="auto"/>
              <w:jc w:val="both"/>
              <w:rPr/>
            </w:pPr>
            <w:r w:rsidDel="00000000" w:rsidR="00000000" w:rsidRPr="00000000">
              <w:rPr>
                <w:rtl w:val="0"/>
              </w:rPr>
              <w:t xml:space="preserve">WHO</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E">
            <w:pPr>
              <w:spacing w:before="240" w:lineRule="auto"/>
              <w:jc w:val="both"/>
              <w:rPr/>
            </w:pPr>
            <w:r w:rsidDel="00000000" w:rsidR="00000000" w:rsidRPr="00000000">
              <w:rPr>
                <w:rtl w:val="0"/>
              </w:rPr>
              <w:t xml:space="preserve">Dinesh Jeyakumaran</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F">
            <w:pPr>
              <w:spacing w:before="240" w:lineRule="auto"/>
              <w:jc w:val="both"/>
              <w:rPr/>
            </w:pPr>
            <w:r w:rsidDel="00000000" w:rsidR="00000000" w:rsidRPr="00000000">
              <w:rPr>
                <w:rtl w:val="0"/>
              </w:rPr>
              <w:t xml:space="preserve">jeyakumarand@who.int</w:t>
            </w:r>
          </w:p>
        </w:tc>
      </w:tr>
      <w:tr>
        <w:trPr>
          <w:trHeight w:val="278"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0">
            <w:pPr>
              <w:spacing w:before="240" w:lineRule="auto"/>
              <w:jc w:val="both"/>
              <w:rPr/>
            </w:pPr>
            <w:r w:rsidDel="00000000" w:rsidR="00000000" w:rsidRPr="00000000">
              <w:rPr>
                <w:color w:val="000000"/>
                <w:rtl w:val="0"/>
              </w:rPr>
              <w:t xml:space="preserve">7</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1">
            <w:pPr>
              <w:spacing w:before="240" w:lineRule="auto"/>
              <w:jc w:val="both"/>
              <w:rPr/>
            </w:pPr>
            <w:r w:rsidDel="00000000" w:rsidR="00000000" w:rsidRPr="00000000">
              <w:rPr>
                <w:rtl w:val="0"/>
              </w:rPr>
              <w:t xml:space="preserve">UN REACH</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2">
            <w:pPr>
              <w:spacing w:before="240" w:lineRule="auto"/>
              <w:jc w:val="both"/>
              <w:rPr/>
            </w:pPr>
            <w:r w:rsidDel="00000000" w:rsidR="00000000" w:rsidRPr="00000000">
              <w:rPr>
                <w:rtl w:val="0"/>
              </w:rPr>
              <w:t xml:space="preserve">Soe Nyi Nyi</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3">
            <w:pPr>
              <w:spacing w:before="240" w:lineRule="auto"/>
              <w:jc w:val="both"/>
              <w:rPr/>
            </w:pPr>
            <w:r w:rsidDel="00000000" w:rsidR="00000000" w:rsidRPr="00000000">
              <w:rPr>
                <w:rtl w:val="0"/>
              </w:rPr>
              <w:t xml:space="preserve">soe.nyinyi@wfp.org</w:t>
            </w:r>
          </w:p>
        </w:tc>
      </w:tr>
      <w:tr>
        <w:trPr>
          <w:trHeight w:val="359"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4">
            <w:pPr>
              <w:spacing w:before="240" w:lineRule="auto"/>
              <w:jc w:val="both"/>
              <w:rPr/>
            </w:pPr>
            <w:r w:rsidDel="00000000" w:rsidR="00000000" w:rsidRPr="00000000">
              <w:rPr>
                <w:rtl w:val="0"/>
              </w:rPr>
              <w:t xml:space="preserve">8</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5">
            <w:pPr>
              <w:spacing w:before="240" w:lineRule="auto"/>
              <w:jc w:val="both"/>
              <w:rPr/>
            </w:pPr>
            <w:r w:rsidDel="00000000" w:rsidR="00000000" w:rsidRPr="00000000">
              <w:rPr>
                <w:rtl w:val="0"/>
              </w:rPr>
              <w:t xml:space="preserve">UNICEF</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6">
            <w:pPr>
              <w:spacing w:before="240" w:lineRule="auto"/>
              <w:jc w:val="both"/>
              <w:rPr/>
            </w:pPr>
            <w:r w:rsidDel="00000000" w:rsidR="00000000" w:rsidRPr="00000000">
              <w:rPr>
                <w:rtl w:val="0"/>
              </w:rPr>
              <w:t xml:space="preserve">Sanjay</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7">
            <w:pPr>
              <w:spacing w:before="240" w:lineRule="auto"/>
              <w:jc w:val="both"/>
              <w:rPr/>
            </w:pPr>
            <w:r w:rsidDel="00000000" w:rsidR="00000000" w:rsidRPr="00000000">
              <w:rPr>
                <w:rtl w:val="0"/>
              </w:rPr>
              <w:t xml:space="preserve">skumardas@unicef.org</w:t>
            </w:r>
          </w:p>
        </w:tc>
      </w:tr>
      <w:tr>
        <w:trPr>
          <w:trHeight w:val="359"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8">
            <w:pPr>
              <w:spacing w:before="240" w:lineRule="auto"/>
              <w:jc w:val="both"/>
              <w:rPr/>
            </w:pPr>
            <w:r w:rsidDel="00000000" w:rsidR="00000000" w:rsidRPr="00000000">
              <w:rPr>
                <w:color w:val="000000"/>
                <w:rtl w:val="0"/>
              </w:rPr>
              <w:t xml:space="preserve">9</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9">
            <w:pPr>
              <w:spacing w:before="240" w:lineRule="auto"/>
              <w:jc w:val="both"/>
              <w:rPr/>
            </w:pPr>
            <w:r w:rsidDel="00000000" w:rsidR="00000000" w:rsidRPr="00000000">
              <w:rPr>
                <w:rtl w:val="0"/>
              </w:rPr>
              <w:t xml:space="preserve">UNICEF</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A">
            <w:pPr>
              <w:spacing w:before="240" w:lineRule="auto"/>
              <w:jc w:val="both"/>
              <w:rPr/>
            </w:pPr>
            <w:r w:rsidDel="00000000" w:rsidR="00000000" w:rsidRPr="00000000">
              <w:rPr>
                <w:rtl w:val="0"/>
              </w:rPr>
              <w:t xml:space="preserve">Dr Kyaw Win Sein</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B">
            <w:pPr>
              <w:spacing w:before="240" w:lineRule="auto"/>
              <w:jc w:val="both"/>
              <w:rPr/>
            </w:pPr>
            <w:r w:rsidDel="00000000" w:rsidR="00000000" w:rsidRPr="00000000">
              <w:rPr>
                <w:rtl w:val="0"/>
              </w:rPr>
              <w:t xml:space="preserve">kwsein@unicef.org</w:t>
            </w:r>
          </w:p>
        </w:tc>
      </w:tr>
      <w:tr>
        <w:trPr>
          <w:trHeight w:val="336"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C">
            <w:pPr>
              <w:spacing w:before="240" w:lineRule="auto"/>
              <w:jc w:val="both"/>
              <w:rPr/>
            </w:pPr>
            <w:r w:rsidDel="00000000" w:rsidR="00000000" w:rsidRPr="00000000">
              <w:rPr>
                <w:color w:val="000000"/>
                <w:rtl w:val="0"/>
              </w:rPr>
              <w:t xml:space="preserve">10</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D">
            <w:pPr>
              <w:spacing w:before="240" w:lineRule="auto"/>
              <w:jc w:val="both"/>
              <w:rPr/>
            </w:pPr>
            <w:r w:rsidDel="00000000" w:rsidR="00000000" w:rsidRPr="00000000">
              <w:rPr>
                <w:rtl w:val="0"/>
              </w:rPr>
              <w:t xml:space="preserve">UNICEF</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E">
            <w:pPr>
              <w:spacing w:before="240" w:lineRule="auto"/>
              <w:jc w:val="both"/>
              <w:rPr/>
            </w:pPr>
            <w:r w:rsidDel="00000000" w:rsidR="00000000" w:rsidRPr="00000000">
              <w:rPr>
                <w:rtl w:val="0"/>
              </w:rPr>
              <w:t xml:space="preserve">Win Lae Lae</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F">
            <w:pPr>
              <w:spacing w:before="240" w:lineRule="auto"/>
              <w:jc w:val="both"/>
              <w:rPr/>
            </w:pPr>
            <w:r w:rsidDel="00000000" w:rsidR="00000000" w:rsidRPr="00000000">
              <w:rPr>
                <w:rtl w:val="0"/>
              </w:rPr>
              <w:t xml:space="preserve">wlae@unicef.org</w:t>
            </w:r>
          </w:p>
        </w:tc>
      </w:tr>
      <w:tr>
        <w:trPr>
          <w:trHeight w:val="336"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0">
            <w:pPr>
              <w:spacing w:before="240" w:lineRule="auto"/>
              <w:jc w:val="both"/>
              <w:rPr/>
            </w:pPr>
            <w:r w:rsidDel="00000000" w:rsidR="00000000" w:rsidRPr="00000000">
              <w:rPr>
                <w:color w:val="000000"/>
                <w:rtl w:val="0"/>
              </w:rPr>
              <w:t xml:space="preserve">11</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1">
            <w:pPr>
              <w:spacing w:before="240" w:lineRule="auto"/>
              <w:jc w:val="both"/>
              <w:rPr/>
            </w:pPr>
            <w:r w:rsidDel="00000000" w:rsidR="00000000" w:rsidRPr="00000000">
              <w:rPr>
                <w:rtl w:val="0"/>
              </w:rPr>
              <w:t xml:space="preserve">UNICEF</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2">
            <w:pPr>
              <w:spacing w:before="240" w:lineRule="auto"/>
              <w:jc w:val="both"/>
              <w:rPr/>
            </w:pPr>
            <w:r w:rsidDel="00000000" w:rsidR="00000000" w:rsidRPr="00000000">
              <w:rPr>
                <w:rtl w:val="0"/>
              </w:rPr>
              <w:t xml:space="preserve">Elin</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3">
            <w:pPr>
              <w:spacing w:before="240" w:lineRule="auto"/>
              <w:jc w:val="both"/>
              <w:rPr/>
            </w:pPr>
            <w:r w:rsidDel="00000000" w:rsidR="00000000" w:rsidRPr="00000000">
              <w:rPr>
                <w:rtl w:val="0"/>
              </w:rPr>
              <w:t xml:space="preserve">enilsson@unicef.org</w:t>
            </w:r>
          </w:p>
        </w:tc>
      </w:tr>
      <w:tr>
        <w:trPr>
          <w:trHeight w:val="336"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4">
            <w:pPr>
              <w:spacing w:before="240" w:lineRule="auto"/>
              <w:jc w:val="both"/>
              <w:rPr/>
            </w:pPr>
            <w:r w:rsidDel="00000000" w:rsidR="00000000" w:rsidRPr="00000000">
              <w:rPr>
                <w:color w:val="000000"/>
                <w:rtl w:val="0"/>
              </w:rPr>
              <w:t xml:space="preserve">12</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5">
            <w:pPr>
              <w:spacing w:before="240" w:lineRule="auto"/>
              <w:jc w:val="both"/>
              <w:rPr/>
            </w:pPr>
            <w:r w:rsidDel="00000000" w:rsidR="00000000" w:rsidRPr="00000000">
              <w:rPr>
                <w:rtl w:val="0"/>
              </w:rPr>
              <w:t xml:space="preserve">UNICEF</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6">
            <w:pPr>
              <w:spacing w:before="240" w:lineRule="auto"/>
              <w:jc w:val="both"/>
              <w:rPr/>
            </w:pPr>
            <w:r w:rsidDel="00000000" w:rsidR="00000000" w:rsidRPr="00000000">
              <w:rPr>
                <w:rtl w:val="0"/>
              </w:rPr>
              <w:t xml:space="preserve">Pyae Phyo Aung</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7">
            <w:pPr>
              <w:spacing w:before="240" w:lineRule="auto"/>
              <w:jc w:val="both"/>
              <w:rPr/>
            </w:pPr>
            <w:r w:rsidDel="00000000" w:rsidR="00000000" w:rsidRPr="00000000">
              <w:rPr>
                <w:rtl w:val="0"/>
              </w:rPr>
              <w:t xml:space="preserve">paung@unicef.org</w:t>
            </w:r>
          </w:p>
        </w:tc>
      </w:tr>
      <w:tr>
        <w:trPr>
          <w:trHeight w:val="370"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8">
            <w:pPr>
              <w:spacing w:before="240" w:lineRule="auto"/>
              <w:jc w:val="both"/>
              <w:rPr/>
            </w:pPr>
            <w:r w:rsidDel="00000000" w:rsidR="00000000" w:rsidRPr="00000000">
              <w:rPr>
                <w:rtl w:val="0"/>
              </w:rPr>
              <w:t xml:space="preserve">13</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9">
            <w:pPr>
              <w:spacing w:before="240" w:lineRule="auto"/>
              <w:jc w:val="both"/>
              <w:rPr/>
            </w:pPr>
            <w:r w:rsidDel="00000000" w:rsidR="00000000" w:rsidRPr="00000000">
              <w:rPr>
                <w:rtl w:val="0"/>
              </w:rPr>
              <w:t xml:space="preserve">SCI</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A">
            <w:pPr>
              <w:spacing w:before="240" w:lineRule="auto"/>
              <w:jc w:val="both"/>
              <w:rPr/>
            </w:pPr>
            <w:r w:rsidDel="00000000" w:rsidR="00000000" w:rsidRPr="00000000">
              <w:rPr>
                <w:rtl w:val="0"/>
              </w:rPr>
              <w:t xml:space="preserve">Sandar Lin</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B">
            <w:pPr>
              <w:spacing w:before="240" w:lineRule="auto"/>
              <w:jc w:val="both"/>
              <w:rPr/>
            </w:pPr>
            <w:r w:rsidDel="00000000" w:rsidR="00000000" w:rsidRPr="00000000">
              <w:rPr>
                <w:rtl w:val="0"/>
              </w:rPr>
              <w:t xml:space="preserve">Sanda.Lin@savethechildren.org</w:t>
            </w:r>
          </w:p>
        </w:tc>
      </w:tr>
      <w:tr>
        <w:trPr>
          <w:trHeight w:val="370"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C">
            <w:pPr>
              <w:spacing w:before="240" w:lineRule="auto"/>
              <w:jc w:val="both"/>
              <w:rPr/>
            </w:pPr>
            <w:r w:rsidDel="00000000" w:rsidR="00000000" w:rsidRPr="00000000">
              <w:rPr>
                <w:rtl w:val="0"/>
              </w:rPr>
              <w:t xml:space="preserve">14</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D">
            <w:pPr>
              <w:spacing w:before="240" w:lineRule="auto"/>
              <w:jc w:val="both"/>
              <w:rPr/>
            </w:pPr>
            <w:r w:rsidDel="00000000" w:rsidR="00000000" w:rsidRPr="00000000">
              <w:rPr>
                <w:color w:val="000000"/>
                <w:rtl w:val="0"/>
              </w:rPr>
              <w:t xml:space="preserve">LIFT</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E">
            <w:pPr>
              <w:spacing w:before="240" w:lineRule="auto"/>
              <w:jc w:val="both"/>
              <w:rPr/>
            </w:pPr>
            <w:r w:rsidDel="00000000" w:rsidR="00000000" w:rsidRPr="00000000">
              <w:rPr>
                <w:color w:val="000000"/>
                <w:rtl w:val="0"/>
              </w:rPr>
              <w:t xml:space="preserve">Nang Lyan Zar</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F">
            <w:pPr>
              <w:spacing w:before="240" w:lineRule="auto"/>
              <w:jc w:val="both"/>
              <w:rPr/>
            </w:pPr>
            <w:r w:rsidDel="00000000" w:rsidR="00000000" w:rsidRPr="00000000">
              <w:rPr>
                <w:color w:val="000000"/>
                <w:rtl w:val="0"/>
              </w:rPr>
              <w:t xml:space="preserve">nanglyanzar@unops.org</w:t>
            </w:r>
            <w:r w:rsidDel="00000000" w:rsidR="00000000" w:rsidRPr="00000000">
              <w:rPr>
                <w:rtl w:val="0"/>
              </w:rPr>
            </w:r>
          </w:p>
        </w:tc>
      </w:tr>
      <w:tr>
        <w:trPr>
          <w:trHeight w:val="370"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0">
            <w:pPr>
              <w:spacing w:before="240" w:lineRule="auto"/>
              <w:jc w:val="both"/>
              <w:rPr/>
            </w:pPr>
            <w:r w:rsidDel="00000000" w:rsidR="00000000" w:rsidRPr="00000000">
              <w:rPr>
                <w:rtl w:val="0"/>
              </w:rPr>
              <w:t xml:space="preserve">15</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1">
            <w:pPr>
              <w:spacing w:before="240" w:lineRule="auto"/>
              <w:jc w:val="both"/>
              <w:rPr/>
            </w:pPr>
            <w:r w:rsidDel="00000000" w:rsidR="00000000" w:rsidRPr="00000000">
              <w:rPr>
                <w:color w:val="000000"/>
                <w:rtl w:val="0"/>
              </w:rPr>
              <w:t xml:space="preserve">MS-NPAN Core Team</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2">
            <w:pPr>
              <w:spacing w:before="240" w:lineRule="auto"/>
              <w:jc w:val="both"/>
              <w:rPr/>
            </w:pPr>
            <w:r w:rsidDel="00000000" w:rsidR="00000000" w:rsidRPr="00000000">
              <w:rPr>
                <w:color w:val="000000"/>
                <w:rtl w:val="0"/>
              </w:rPr>
              <w:t xml:space="preserve">Dr San San Myint</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3">
            <w:pPr>
              <w:spacing w:before="240" w:lineRule="auto"/>
              <w:jc w:val="both"/>
              <w:rPr/>
            </w:pPr>
            <w:hyperlink r:id="rId6">
              <w:r w:rsidDel="00000000" w:rsidR="00000000" w:rsidRPr="00000000">
                <w:rPr>
                  <w:color w:val="000000"/>
                  <w:u w:val="single"/>
                  <w:rtl w:val="0"/>
                </w:rPr>
                <w:t xml:space="preserve">sansanm@unops.org</w:t>
              </w:r>
            </w:hyperlink>
            <w:r w:rsidDel="00000000" w:rsidR="00000000" w:rsidRPr="00000000">
              <w:rPr>
                <w:rtl w:val="0"/>
              </w:rPr>
            </w:r>
          </w:p>
        </w:tc>
      </w:tr>
      <w:tr>
        <w:trPr>
          <w:trHeight w:val="370"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4">
            <w:pPr>
              <w:spacing w:before="240" w:lineRule="auto"/>
              <w:jc w:val="both"/>
              <w:rPr/>
            </w:pPr>
            <w:r w:rsidDel="00000000" w:rsidR="00000000" w:rsidRPr="00000000">
              <w:rPr>
                <w:rtl w:val="0"/>
              </w:rPr>
              <w:t xml:space="preserve">16</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5">
            <w:pPr>
              <w:spacing w:before="240" w:lineRule="auto"/>
              <w:jc w:val="both"/>
              <w:rPr/>
            </w:pPr>
            <w:r w:rsidDel="00000000" w:rsidR="00000000" w:rsidRPr="00000000">
              <w:rPr>
                <w:color w:val="000000"/>
                <w:rtl w:val="0"/>
              </w:rPr>
              <w:t xml:space="preserve">World Concern</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6">
            <w:pPr>
              <w:spacing w:before="240" w:lineRule="auto"/>
              <w:jc w:val="both"/>
              <w:rPr/>
            </w:pPr>
            <w:r w:rsidDel="00000000" w:rsidR="00000000" w:rsidRPr="00000000">
              <w:rPr>
                <w:color w:val="000000"/>
                <w:rtl w:val="0"/>
              </w:rPr>
              <w:t xml:space="preserve">Dr.Kyawt Thazin Oo</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7">
            <w:pPr>
              <w:spacing w:before="240" w:lineRule="auto"/>
              <w:jc w:val="both"/>
              <w:rPr/>
            </w:pPr>
            <w:r w:rsidDel="00000000" w:rsidR="00000000" w:rsidRPr="00000000">
              <w:rPr>
                <w:color w:val="000000"/>
                <w:rtl w:val="0"/>
              </w:rPr>
              <w:t xml:space="preserve">kyawtthazinoo@worldconcern.org</w:t>
            </w:r>
            <w:r w:rsidDel="00000000" w:rsidR="00000000" w:rsidRPr="00000000">
              <w:rPr>
                <w:rtl w:val="0"/>
              </w:rPr>
            </w:r>
          </w:p>
        </w:tc>
      </w:tr>
      <w:tr>
        <w:trPr>
          <w:trHeight w:val="370" w:hRule="atLeast"/>
        </w:trPr>
        <w:tc>
          <w:tcPr>
            <w:tcBorders>
              <w:top w:color="000000" w:space="0" w:sz="0" w:val="nil"/>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8">
            <w:pPr>
              <w:spacing w:before="240" w:lineRule="auto"/>
              <w:jc w:val="both"/>
              <w:rPr/>
            </w:pPr>
            <w:r w:rsidDel="00000000" w:rsidR="00000000" w:rsidRPr="00000000">
              <w:rPr>
                <w:rtl w:val="0"/>
              </w:rPr>
              <w:t xml:space="preserve">17</w:t>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9">
            <w:pPr>
              <w:spacing w:before="240" w:lineRule="auto"/>
              <w:jc w:val="both"/>
              <w:rPr/>
            </w:pPr>
            <w:r w:rsidDel="00000000" w:rsidR="00000000" w:rsidRPr="00000000">
              <w:rPr>
                <w:color w:val="000000"/>
                <w:rtl w:val="0"/>
              </w:rPr>
              <w:t xml:space="preserve">FAO</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A">
            <w:pPr>
              <w:spacing w:before="240" w:lineRule="auto"/>
              <w:jc w:val="both"/>
              <w:rPr/>
            </w:pPr>
            <w:r w:rsidDel="00000000" w:rsidR="00000000" w:rsidRPr="00000000">
              <w:rPr>
                <w:color w:val="000000"/>
                <w:rtl w:val="0"/>
              </w:rPr>
              <w:t xml:space="preserve"> Anna-Lisa Noack</w:t>
            </w:r>
            <w:r w:rsidDel="00000000" w:rsidR="00000000" w:rsidRPr="00000000">
              <w:rPr>
                <w:rtl w:val="0"/>
              </w:rPr>
            </w:r>
          </w:p>
        </w:tc>
        <w:tc>
          <w:tcPr>
            <w:tcBorders>
              <w:top w:color="000000" w:space="0" w:sz="0" w:val="nil"/>
              <w:left w:color="000000" w:space="0" w:sz="0" w:val="nil"/>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B">
            <w:pPr>
              <w:spacing w:before="240" w:lineRule="auto"/>
              <w:jc w:val="both"/>
              <w:rPr/>
            </w:pPr>
            <w:hyperlink r:id="rId7">
              <w:r w:rsidDel="00000000" w:rsidR="00000000" w:rsidRPr="00000000">
                <w:rPr>
                  <w:color w:val="000000"/>
                  <w:u w:val="single"/>
                  <w:rtl w:val="0"/>
                </w:rPr>
                <w:t xml:space="preserve">annalisa.noack@fao.org</w:t>
              </w:r>
            </w:hyperlink>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09C">
      <w:pPr>
        <w:jc w:val="both"/>
        <w:rPr>
          <w:rFonts w:ascii="Calibri" w:cs="Calibri" w:eastAsia="Calibri" w:hAnsi="Calibri"/>
          <w:b w:val="1"/>
          <w:color w:val="548dd4"/>
          <w:u w:val="single"/>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b w:val="1"/>
          <w:color w:val="548dd4"/>
          <w:u w:val="single"/>
        </w:rPr>
      </w:pPr>
      <w:r w:rsidDel="00000000" w:rsidR="00000000" w:rsidRPr="00000000">
        <w:rPr>
          <w:rtl w:val="0"/>
        </w:rPr>
      </w:r>
    </w:p>
    <w:sectPr>
      <w:headerReference r:id="rId8" w:type="default"/>
      <w:footerReference r:id="rId9" w:type="default"/>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after="0" w:lineRule="auto"/>
      <w:rPr>
        <w:color w:val="000000"/>
        <w:sz w:val="2"/>
        <w:szCs w:val="2"/>
      </w:rPr>
    </w:pPr>
    <w:r w:rsidDel="00000000" w:rsidR="00000000" w:rsidRPr="00000000">
      <w:rPr>
        <w:rtl w:val="0"/>
      </w:rPr>
    </w:r>
  </w:p>
  <w:tbl>
    <w:tblPr>
      <w:tblStyle w:val="Table4"/>
      <w:tblW w:w="9026.0" w:type="dxa"/>
      <w:jc w:val="left"/>
      <w:tblInd w:w="0.0" w:type="dxa"/>
      <w:tblBorders>
        <w:top w:color="0070c0" w:space="0" w:sz="12"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21"/>
      <w:tblGridChange w:id="0">
        <w:tblGrid>
          <w:gridCol w:w="4505"/>
          <w:gridCol w:w="4521"/>
        </w:tblGrid>
      </w:tblGridChange>
    </w:tblGrid>
    <w:tr>
      <w:tc>
        <w:tcPr/>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color w:val="1f497d"/>
              <w:sz w:val="20"/>
              <w:szCs w:val="20"/>
              <w:rtl w:val="0"/>
            </w:rPr>
            <w:t xml:space="preserve">NIE_SAG Meeting minutes</w:t>
          </w:r>
        </w:p>
      </w:tc>
      <w:tc>
        <w:tcPr/>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color w:val="1f497d"/>
              <w:sz w:val="20"/>
              <w:szCs w:val="20"/>
              <w:rtl w:val="0"/>
            </w:rPr>
            <w:t xml:space="preserve">                                          </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pos="4680"/>
              <w:tab w:val="right" w:pos="9360"/>
            </w:tabs>
            <w:jc w:val="right"/>
            <w:rPr>
              <w:color w:val="1f497d"/>
              <w:sz w:val="20"/>
              <w:szCs w:val="20"/>
            </w:rPr>
          </w:pPr>
          <w:r w:rsidDel="00000000" w:rsidR="00000000" w:rsidRPr="00000000">
            <w:rPr>
              <w:color w:val="1f497d"/>
              <w:sz w:val="20"/>
              <w:szCs w:val="20"/>
              <w:rtl w:val="0"/>
            </w:rPr>
            <w:t xml:space="preserve">Page </w:t>
          </w:r>
          <w:r w:rsidDel="00000000" w:rsidR="00000000" w:rsidRPr="00000000">
            <w:rPr>
              <w:color w:val="1f497d"/>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rtl w:val="0"/>
            </w:rPr>
          </w:r>
        </w:p>
      </w:tc>
    </w:tr>
  </w:tbl>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color w:val="548dd4"/>
        <w:u w:val="single"/>
      </w:rPr>
    </w:pPr>
    <w:r w:rsidDel="00000000" w:rsidR="00000000" w:rsidRPr="00000000">
      <w:rPr>
        <w:rtl w:val="0"/>
      </w:rPr>
    </w:r>
  </w:p>
  <w:tbl>
    <w:tblPr>
      <w:tblStyle w:val="Table3"/>
      <w:tblW w:w="9026.0" w:type="dxa"/>
      <w:jc w:val="left"/>
      <w:tblInd w:w="0.0" w:type="dxa"/>
      <w:tblBorders>
        <w:top w:color="000000" w:space="0" w:sz="0" w:val="nil"/>
        <w:left w:color="000000" w:space="0" w:sz="0" w:val="nil"/>
        <w:bottom w:color="0070c0" w:space="0" w:sz="12" w:val="single"/>
        <w:right w:color="000000" w:space="0" w:sz="0" w:val="nil"/>
        <w:insideH w:color="000000" w:space="0" w:sz="0" w:val="nil"/>
        <w:insideV w:color="000000" w:space="0" w:sz="0" w:val="nil"/>
      </w:tblBorders>
      <w:tblLayout w:type="fixed"/>
      <w:tblLook w:val="0400"/>
    </w:tblPr>
    <w:tblGrid>
      <w:gridCol w:w="2344"/>
      <w:gridCol w:w="2346"/>
      <w:gridCol w:w="4336"/>
      <w:tblGridChange w:id="0">
        <w:tblGrid>
          <w:gridCol w:w="2344"/>
          <w:gridCol w:w="2346"/>
          <w:gridCol w:w="4336"/>
        </w:tblGrid>
      </w:tblGridChange>
    </w:tblGrid>
    <w:tr>
      <w:trPr>
        <w:trHeight w:val="1005" w:hRule="atLeast"/>
      </w:trPr>
      <w:tc>
        <w:tcPr/>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pos="4680"/>
              <w:tab w:val="right" w:pos="9360"/>
            </w:tabs>
            <w:rPr>
              <w:b w:val="1"/>
              <w:color w:val="1f497d"/>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pos="4770"/>
            </w:tabs>
            <w:jc w:val="right"/>
            <w:rPr>
              <w:color w:val="1f497d"/>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pos="4770"/>
            </w:tabs>
            <w:jc w:val="right"/>
            <w:rPr>
              <w:color w:val="1f497d"/>
            </w:rPr>
          </w:pPr>
          <w:r w:rsidDel="00000000" w:rsidR="00000000" w:rsidRPr="00000000">
            <w:rPr>
              <w:rtl w:val="0"/>
            </w:rPr>
          </w:r>
        </w:p>
      </w:tc>
      <w:tc>
        <w:tcPr/>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pos="4680"/>
              <w:tab w:val="right" w:pos="9360"/>
            </w:tabs>
            <w:rPr>
              <w:color w:val="1f497d"/>
              <w:sz w:val="2"/>
              <w:szCs w:val="2"/>
            </w:rPr>
          </w:pPr>
          <w:r w:rsidDel="00000000" w:rsidR="00000000" w:rsidRPr="00000000">
            <w:rPr>
              <w:rtl w:val="0"/>
            </w:rPr>
          </w:r>
        </w:p>
      </w:tc>
      <w:tc>
        <w:tcPr/>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pos="4680"/>
              <w:tab w:val="right" w:pos="9360"/>
            </w:tabs>
            <w:ind w:left="86" w:firstLine="0"/>
            <w:rPr>
              <w:b w:val="1"/>
              <w:color w:val="1f497d"/>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pos="4680"/>
              <w:tab w:val="right" w:pos="9360"/>
            </w:tabs>
            <w:ind w:left="3600" w:firstLine="0"/>
            <w:rPr>
              <w:color w:val="1f497d"/>
            </w:rPr>
          </w:pPr>
          <w:r w:rsidDel="00000000" w:rsidR="00000000" w:rsidRPr="00000000">
            <w:rPr>
              <w:color w:val="000000"/>
            </w:rPr>
            <w:drawing>
              <wp:inline distB="0" distT="0" distL="0" distR="0">
                <wp:extent cx="336901" cy="4020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6901" cy="40205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sansanm@unops.org" TargetMode="External"/><Relationship Id="rId7" Type="http://schemas.openxmlformats.org/officeDocument/2006/relationships/hyperlink" Target="mailto:annalisa.noack@fao.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