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17 April 2020, 14:00-15:30</w:t>
      </w:r>
    </w:p>
    <w:p w:rsidR="00000000" w:rsidDel="00000000" w:rsidP="00000000" w:rsidRDefault="00000000" w:rsidRPr="00000000" w14:paraId="00000003">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5">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w:t>
      </w:r>
      <w:r w:rsidDel="00000000" w:rsidR="00000000" w:rsidRPr="00000000">
        <w:rPr>
          <w:rFonts w:ascii="Times New Roman" w:cs="Times New Roman" w:eastAsia="Times New Roman" w:hAnsi="Times New Roman"/>
          <w:rtl w:val="0"/>
        </w:rPr>
        <w:t xml:space="preserve">pdates on guidance note package and translation process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Contracting to the Tech RRT through UNICEF</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Nutrition C4D Key messages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Updates on Hot Line (IYCF counselling)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Updates on Volunteer ToR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Updates on Recommendation on food distribution and food basket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Progress on COVID response partner Mapping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Business (AOB)</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w:t>
        <w:tab/>
      </w:r>
      <w:r w:rsidDel="00000000" w:rsidR="00000000" w:rsidRPr="00000000">
        <w:rPr>
          <w:rFonts w:ascii="Times New Roman" w:cs="Times New Roman" w:eastAsia="Times New Roman" w:hAnsi="Times New Roman"/>
          <w:rtl w:val="0"/>
        </w:rPr>
        <w:t xml:space="preserve">Updates on guidance note package and translation process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Kyaw Win Sein shared the latest update about the guidance package. NNC approved in principle as the guidance note was based on global guidance. It can be shared to partners after adding the sector logo and inserting references. The UNOPS communication team will help with formatting and design by mid-next week. After sharing the final document to partners, orientation to the Sub-National level nutrition team and partners are required. </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food basket information is ready, it is suggested by the SAG members to add into the package. Translation of the guidance package and its PowerPoint are ongoing and Dr Kyaw will combine and finalize them.</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rtl w:val="0"/>
        </w:rPr>
        <w:t xml:space="preserve">Contracting to the Tech RRT through UNICEF</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build the partner’s capacity, a virtual learning platform is required due to the given Covid-19 context. UNICEF developed ToR for the Tech RRT who will develop the virtual learning materials based on the Myanmar nutrition guidance package. The UNOPS requests to share the draft ToR for their review.</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rtl w:val="0"/>
        </w:rPr>
        <w:t xml:space="preserve">Nutrition C4D Key messages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Both English and Myanmar versions (17 pages) of C4D Nutrition key messages were submitted to the NNC. However, the MoHS are busy to review and shared the short version (4 pages) key messages developed by the MRH, CHD and NNC. The short version is in the process of MoHS approval and the MoHS requested UNICEF to support in developing the C4D materials. Discussion between MoHS and UNICEF is ongoing and will share the final key messages once it is final.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r>
      <w:r w:rsidDel="00000000" w:rsidR="00000000" w:rsidRPr="00000000">
        <w:rPr>
          <w:rFonts w:ascii="Times New Roman" w:cs="Times New Roman" w:eastAsia="Times New Roman" w:hAnsi="Times New Roman"/>
          <w:rtl w:val="0"/>
        </w:rPr>
        <w:t xml:space="preserve">Updates on Hotline (IYCF counselling)</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IYCF counselling hotline concept note was shared to SAG members. Dr Nay discussed with the NNC and UNICEF health team who are assisting the COVID hotline run by the MoHS. UNICEF will update later once the modality is confirmed.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rtl w:val="0"/>
        </w:rPr>
        <w:t xml:space="preserve">Updates on Volunteer ToR </w:t>
      </w:r>
      <w:r w:rsidDel="00000000" w:rsidR="00000000" w:rsidRPr="00000000">
        <w:rPr>
          <w:rtl w:val="0"/>
        </w:rPr>
      </w:r>
    </w:p>
    <w:p w:rsidR="00000000" w:rsidDel="00000000" w:rsidP="00000000" w:rsidRDefault="00000000" w:rsidRPr="00000000" w14:paraId="00000025">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draft ToR was reviewed by partners and comments were received. Once it is final, the SAG can discuss with NNC next week. In the current ToR, the proper personal protective equipment (PPE) for volunteers such as masks and some handwashing facilities were not included.  More discussion will be required.</w:t>
      </w:r>
    </w:p>
    <w:p w:rsidR="00000000" w:rsidDel="00000000" w:rsidP="00000000" w:rsidRDefault="00000000" w:rsidRPr="00000000" w14:paraId="00000027">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tab/>
      </w:r>
      <w:r w:rsidDel="00000000" w:rsidR="00000000" w:rsidRPr="00000000">
        <w:rPr>
          <w:rFonts w:ascii="Times New Roman" w:cs="Times New Roman" w:eastAsia="Times New Roman" w:hAnsi="Times New Roman"/>
          <w:rtl w:val="0"/>
        </w:rPr>
        <w:t xml:space="preserve">Updates on Recommendation on food distribution and food basket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Current guidance note is a bit long and WHO does not receive feedback in time. Dinesh will collaborate with WFP, LIFT and FAO for a food basket and meal plan for quarantine camps. The current guidance note has mixed information for partners and beneficiaries, and it is required to consider either the full food basket or hybrid (food and cash) to be operationally feasible and fixed family size or pro ra-ta. It is suggested that the guidance note should be around 1-3 pages.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Progress on COVID response partner Mapping</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Elin shared the mapping sheet with nutrition partners and most of the partners completed the table however some do not fill it yet. LIFT is requested to share the IP mapping and Jennie will share with UNICEF shortly.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Once the mapping is completed, UNICEF will engage the existing and new partners for COVID response.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AOB</w:t>
      </w:r>
    </w:p>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Mask and handwashing facilities are required for BHS, partners and volunteers. The required amount can be shared with the COVID task force or working through bilateral partnership.  Appropriate PPE such as Mask and glove procurement (Eg 2-3 masks /day per volunteer) will be required and the ACCESS, LIFT and UNICEF could support them to their partners based on needs.</w:t>
      </w:r>
    </w:p>
    <w:p w:rsidR="00000000" w:rsidDel="00000000" w:rsidP="00000000" w:rsidRDefault="00000000" w:rsidRPr="00000000" w14:paraId="0000003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Dinesh will share  the WHO recommendation on the PPE usage at the community level in early next week.</w:t>
      </w:r>
    </w:p>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virtual presentation/training to the nutrition partners in Rakhine and Kayin were prioritized. The SAG members are requested to share the draft presentation based on the guidance package by COB Tuesday. </w:t>
      </w:r>
    </w:p>
    <w:p w:rsidR="00000000" w:rsidDel="00000000" w:rsidP="00000000" w:rsidRDefault="00000000" w:rsidRPr="00000000" w14:paraId="0000003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SAG Meeting-Thursday 2.00-3.30 pm</w:t>
      </w:r>
    </w:p>
    <w:p w:rsidR="00000000" w:rsidDel="00000000" w:rsidP="00000000" w:rsidRDefault="00000000" w:rsidRPr="00000000" w14:paraId="0000003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3D">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3E">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3F">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0">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5">
            <w:pPr>
              <w:spacing w:after="0" w:before="240" w:lin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6">
            <w:pPr>
              <w:spacing w:after="0" w:before="240" w:lin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7">
            <w:pPr>
              <w:spacing w:after="0" w:before="240" w:lin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8">
            <w:pPr>
              <w:spacing w:after="0" w:before="240" w:lin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9">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A">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B">
            <w:pPr>
              <w:spacing w:before="240" w:lineRule="auto"/>
              <w:jc w:val="both"/>
              <w:rPr/>
            </w:pPr>
            <w:r w:rsidDel="00000000" w:rsidR="00000000" w:rsidRPr="00000000">
              <w:rPr>
                <w:rtl w:val="0"/>
              </w:rPr>
              <w:t xml:space="preserve">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C">
            <w:pPr>
              <w:spacing w:before="240" w:lineRule="auto"/>
              <w:jc w:val="both"/>
              <w:rPr/>
            </w:pPr>
            <w:hyperlink r:id="rId6">
              <w:r w:rsidDel="00000000" w:rsidR="00000000" w:rsidRPr="00000000">
                <w:rPr>
                  <w:color w:val="0000ff"/>
                  <w:u w:val="single"/>
                  <w:rtl w:val="0"/>
                </w:rPr>
                <w:t xml:space="preserve">ntkyaw@unicef.org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D">
            <w:pPr>
              <w:spacing w:after="0" w:before="240" w:lin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before="240" w:lineRule="auto"/>
              <w:jc w:val="both"/>
              <w:rPr/>
            </w:pPr>
            <w:r w:rsidDel="00000000" w:rsidR="00000000" w:rsidRPr="00000000">
              <w:rPr>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before="240" w:lineRule="auto"/>
              <w:jc w:val="both"/>
              <w:rPr/>
            </w:pPr>
            <w:r w:rsidDel="00000000" w:rsidR="00000000" w:rsidRPr="00000000">
              <w:rPr>
                <w:rtl w:val="0"/>
              </w:rPr>
              <w:t xml:space="preserve">kwsein@unicef.org</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 Jeyakumaran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after="0" w:before="240" w:lin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after="0" w:before="240" w:lin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after="0" w:before="240" w:lin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after="0" w:before="240" w:lin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after="0" w:before="240" w:lin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after="0" w:before="240" w:lin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after="0" w:before="240" w:lin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after="0" w:before="240" w:lin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after="0" w:before="240" w:lin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after="0" w:before="240" w:lin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after="0" w:before="240" w:line="240" w:lineRule="auto"/>
              <w:jc w:val="both"/>
              <w:rPr>
                <w:color w:val="000000"/>
              </w:rPr>
            </w:pPr>
            <w:r w:rsidDel="00000000" w:rsidR="00000000" w:rsidRPr="00000000">
              <w:rPr>
                <w:rtl w:val="0"/>
              </w:rPr>
              <w:t xml:space="preserve">UNOPS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both"/>
              <w:rPr>
                <w:color w:val="000000"/>
              </w:rPr>
            </w:pPr>
            <w:r w:rsidDel="00000000" w:rsidR="00000000" w:rsidRPr="00000000">
              <w:rPr>
                <w:rtl w:val="0"/>
              </w:rPr>
              <w:t xml:space="preserve">Kyaw Htin Soe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both"/>
              <w:rPr>
                <w:color w:val="000000"/>
              </w:rPr>
            </w:pPr>
            <w:r w:rsidDel="00000000" w:rsidR="00000000" w:rsidRPr="00000000">
              <w:rPr>
                <w:rtl w:val="0"/>
              </w:rPr>
              <w:t xml:space="preserve">kyawhtins@unops.org</w:t>
            </w:r>
            <w:r w:rsidDel="00000000" w:rsidR="00000000" w:rsidRPr="00000000">
              <w:rPr>
                <w:rtl w:val="0"/>
              </w:rPr>
            </w:r>
          </w:p>
        </w:tc>
      </w:tr>
    </w:tbl>
    <w:p w:rsidR="00000000" w:rsidDel="00000000" w:rsidP="00000000" w:rsidRDefault="00000000" w:rsidRPr="00000000" w14:paraId="00000081">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7" w:type="default"/>
      <w:footerReference r:id="rId8"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3"/>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2"/>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c>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680"/>
              <w:tab w:val="right" w:pos="9360"/>
            </w:tabs>
            <w:ind w:left="86"/>
            <w:rPr>
              <w:b w:val="1"/>
              <w:color w:val="1f497d"/>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680"/>
              <w:tab w:val="right" w:pos="9360"/>
            </w:tabs>
            <w:ind w:left="360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tkyaw@unicef.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