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Times New Roman" w:cs="Times New Roman" w:eastAsia="Times New Roman" w:hAnsi="Times New Roman"/>
          <w:color w:val="0070c0"/>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Heading1"/>
        <w:spacing w:before="0" w:line="240" w:lineRule="auto"/>
        <w:jc w:val="center"/>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Nutrition in Emergency (NiE) SAG meeting, Myanmar</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Zoom meeting, 07 April 2020, 14:00-15:30</w:t>
      </w:r>
    </w:p>
    <w:p w:rsidR="00000000" w:rsidDel="00000000" w:rsidP="00000000" w:rsidRDefault="00000000" w:rsidRPr="00000000" w14:paraId="00000004">
      <w:pPr>
        <w:pStyle w:val="Heading1"/>
        <w:spacing w:after="120"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Meeting minutes</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w:t>
      </w:r>
      <w:r w:rsidDel="00000000" w:rsidR="00000000" w:rsidRPr="00000000">
        <w:rPr>
          <w:rFonts w:ascii="Times New Roman" w:cs="Times New Roman" w:eastAsia="Times New Roman" w:hAnsi="Times New Roman"/>
          <w:rtl w:val="0"/>
        </w:rPr>
        <w:t xml:space="preserve">: UNICEF on behalf of the nutrition sector</w:t>
      </w:r>
    </w:p>
    <w:p w:rsidR="00000000" w:rsidDel="00000000" w:rsidP="00000000" w:rsidRDefault="00000000" w:rsidRPr="00000000" w14:paraId="00000006">
      <w:pPr>
        <w:pStyle w:val="Heading2"/>
        <w:spacing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Agenda</w:t>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Updates with development of technical guidance notes and c4D nutrition materials for COVID-19 response – next steps (discussion with NNC, translation and dissemination)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 mapping of partners and the possible needs – supplies, technical guidance, training, funding etc</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Capacity building and task-related orientation of implementing partners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Task-oriented rapid training for CHW ad volunteers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Hotline for counselling and way forward</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Business (AOB)</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Discussion Note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Updates with development of technical guidance notes and c4D nutrition materials for COVID-19 response – next steps (discussion with NNC, translation and dissemination)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Partners already provided inputs into the guidance note and its annexes. The guidance note on healthy eating and maintaining the diversity of food suggested by FAO will be prioritised in the later stage to avoid delays in getting approval of key guidance note. Then, this document will be added as one of the annexes of the key guidance note.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Kyaw Win Sein from UNICEF will compile all comments from partners by 4.00 pm today and share to NNC shortly then. He will actively follow up NNC, and the approval is expected to receive by the end of this week. They will be planned to share with partners by next week.</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Translation of these documents is required in order to help partners who are more comfortable to read Myanmar language. With UNICEF and the following partners will be supporting for the translation.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c>
          <w:tcPr/>
          <w:p w:rsidR="00000000" w:rsidDel="00000000" w:rsidP="00000000" w:rsidRDefault="00000000" w:rsidRPr="00000000" w14:paraId="0000001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and Micronutrient Supplementation</w:t>
            </w:r>
          </w:p>
        </w:tc>
        <w:tc>
          <w:tcPr/>
          <w:p w:rsidR="00000000" w:rsidDel="00000000" w:rsidP="00000000" w:rsidRDefault="00000000" w:rsidRPr="00000000" w14:paraId="0000001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Nay Tun Kyaw, UNICEF</w:t>
            </w:r>
          </w:p>
        </w:tc>
      </w:tr>
      <w:tr>
        <w:tc>
          <w:tcPr/>
          <w:p w:rsidR="00000000" w:rsidDel="00000000" w:rsidP="00000000" w:rsidRDefault="00000000" w:rsidRPr="00000000" w14:paraId="0000001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NIE general guidance note (done) and a joint statement </w:t>
            </w:r>
          </w:p>
        </w:tc>
        <w:tc>
          <w:tcPr/>
          <w:p w:rsidR="00000000" w:rsidDel="00000000" w:rsidP="00000000" w:rsidRDefault="00000000" w:rsidRPr="00000000" w14:paraId="0000001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UN-REACH</w:t>
            </w:r>
          </w:p>
        </w:tc>
      </w:tr>
      <w:tr>
        <w:tc>
          <w:tcPr/>
          <w:p w:rsidR="00000000" w:rsidDel="00000000" w:rsidP="00000000" w:rsidRDefault="00000000" w:rsidRPr="00000000" w14:paraId="0000001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IYCF and IMAM</w:t>
            </w:r>
          </w:p>
        </w:tc>
        <w:tc>
          <w:tcPr/>
          <w:p w:rsidR="00000000" w:rsidDel="00000000" w:rsidP="00000000" w:rsidRDefault="00000000" w:rsidRPr="00000000" w14:paraId="0000001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ACF</w:t>
            </w:r>
          </w:p>
        </w:tc>
      </w:tr>
      <w:tr>
        <w:tc>
          <w:tcPr/>
          <w:p w:rsidR="00000000" w:rsidDel="00000000" w:rsidP="00000000" w:rsidRDefault="00000000" w:rsidRPr="00000000" w14:paraId="0000001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BSFP</w:t>
            </w:r>
          </w:p>
        </w:tc>
        <w:tc>
          <w:tcPr/>
          <w:p w:rsidR="00000000" w:rsidDel="00000000" w:rsidP="00000000" w:rsidRDefault="00000000" w:rsidRPr="00000000" w14:paraId="0000002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WFP</w:t>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Kyaw Win Sein will translate the “How to Use BMS If Indicated in the Context of COVID-19 Pandemic” and will share to NNC for the approval. The BMS guidance note will not be shared broadly to partners, only a few partners who require.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all Myanmar translation, it is suggested to use the Win-INWA font and font size 12. Once the translation is finished, please send to Dr KWS who will support for final editing.</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C4D key messages on Nutrition:</w:t>
      </w:r>
      <w:r w:rsidDel="00000000" w:rsidR="00000000" w:rsidRPr="00000000">
        <w:rPr>
          <w:rFonts w:ascii="Times New Roman" w:cs="Times New Roman" w:eastAsia="Times New Roman" w:hAnsi="Times New Roman"/>
          <w:color w:val="000000"/>
          <w:rtl w:val="0"/>
        </w:rPr>
        <w:t xml:space="preserve"> Inputs and comments from partners were received, and the document was finalised. The translation is in the process by the UN-REACH, and it is expected to submit to NNC by Thursday this week. Due to the busy schedule and government Thingyan holidays, the final approval from NNC is expected by the end of next week.</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UNICEF will work with the C4D colleagues for the design process and explore the options of different platforms to share the key messages.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tab/>
      </w:r>
      <w:r w:rsidDel="00000000" w:rsidR="00000000" w:rsidRPr="00000000">
        <w:rPr>
          <w:rFonts w:ascii="Times New Roman" w:cs="Times New Roman" w:eastAsia="Times New Roman" w:hAnsi="Times New Roman"/>
          <w:b w:val="1"/>
          <w:color w:val="000000"/>
          <w:rtl w:val="0"/>
        </w:rPr>
        <w:t xml:space="preserve">Food Basket:</w:t>
      </w:r>
      <w:r w:rsidDel="00000000" w:rsidR="00000000" w:rsidRPr="00000000">
        <w:rPr>
          <w:rFonts w:ascii="Times New Roman" w:cs="Times New Roman" w:eastAsia="Times New Roman" w:hAnsi="Times New Roman"/>
          <w:color w:val="000000"/>
          <w:rtl w:val="0"/>
        </w:rPr>
        <w:t xml:space="preserve"> WFP, WHO and FAO work together for food basket for both for nutritionally </w:t>
      </w:r>
      <w:r w:rsidDel="00000000" w:rsidR="00000000" w:rsidRPr="00000000">
        <w:rPr>
          <w:rFonts w:ascii="Times New Roman" w:cs="Times New Roman" w:eastAsia="Times New Roman" w:hAnsi="Times New Roman"/>
          <w:rtl w:val="0"/>
        </w:rPr>
        <w:t xml:space="preserve">vulnerable</w:t>
      </w:r>
      <w:r w:rsidDel="00000000" w:rsidR="00000000" w:rsidRPr="00000000">
        <w:rPr>
          <w:rFonts w:ascii="Times New Roman" w:cs="Times New Roman" w:eastAsia="Times New Roman" w:hAnsi="Times New Roman"/>
          <w:color w:val="000000"/>
          <w:rtl w:val="0"/>
        </w:rPr>
        <w:t xml:space="preserve"> people, and total population (if possible), especially for the resource-limited setting like COVID-19 context.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ACF will share the existing document used during the last emergency response in Rakhine. The focal organizations will work on this and share to SAG by Thursday.</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tab/>
        <w:t xml:space="preserve">Update mapping of partners and the possible needs – supplies, technical guidance, training, and funding</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Most of our partners filled the link shared by UNICEF, but some do not respond yet, and Elin will follow up on this. Many partners from ACCESS and LIFT may not require funding, but we need to agree on which key nutrition activities can be implemented by the IP. UNICEF will analyse and contact with respective IP if it requires.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tab/>
        <w:t xml:space="preserve">Capacity building and task-related orientation of implementing partners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UNICEF shared information about the webinar organised by the Tech RRT and using digital platform for capacity building. However, transform the guidance note to a digital platform would take time. As an interim option, the SAG can use PowerPoint and provide training by using Zoom, for example.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phase one, humanitarian area such as Rakhine and Kayin can be prioritised for the first batch of training to the partners working in these areas. The Yangon, Mandalay and Mon can be followed as phase two.</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Partners who are supporting the translation of guidance note also commit to develop a PowerPoint presentation for the online training.</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Supplies:</w:t>
      </w:r>
      <w:r w:rsidDel="00000000" w:rsidR="00000000" w:rsidRPr="00000000">
        <w:rPr>
          <w:rFonts w:ascii="Times New Roman" w:cs="Times New Roman" w:eastAsia="Times New Roman" w:hAnsi="Times New Roman"/>
          <w:color w:val="000000"/>
          <w:rtl w:val="0"/>
        </w:rPr>
        <w:t xml:space="preserve"> UNICEF procured key nutrition commodities as part of the COVID-19 response and can collaborate with partners. Partners may know better about forecasting of the key nutrition commodities once the online training has been accomplished. Elin will collect the supply request from partners after the training.</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However, the repository of stocks will be a problem at the field level, and partners are requested to support. In Rakhine, ACF will support for reposition of stocks such as RUTF and the rest will be stored in UNICEF warehouse.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WFP has some gaps in nutrition supply, and Chaw Su will share the updates.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ACCESS is supporting RUSF, and we need to clarify with ACCESS on whether it can be shared to partners or not.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tab/>
        <w:t xml:space="preserve">Task-oriented rapid training for CHW ad volunteers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Volunteer ToR: </w:t>
      </w:r>
      <w:r w:rsidDel="00000000" w:rsidR="00000000" w:rsidRPr="00000000">
        <w:rPr>
          <w:rFonts w:ascii="Times New Roman" w:cs="Times New Roman" w:eastAsia="Times New Roman" w:hAnsi="Times New Roman"/>
          <w:color w:val="000000"/>
          <w:rtl w:val="0"/>
        </w:rPr>
        <w:t xml:space="preserve">The ToR of community volunteer for nutrition in the context of COVID-19 is required to revise to support the BHS to deliver key nutrition activities as BHS are currently overwhelmed with the COVID-19 response activities and so on.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 Pyae will draft the proposed ToR for NNC approval, and most of the key functions will be aligned with the above draft NIE guidance note in the context of COVID-19, volunteer training guideline for IYCF and IMAM, and Dos and Don’t for AMW.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Modality to train the volunteer and IP was discussed above.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tab/>
        <w:t xml:space="preserve">Hotline for counselling and way forward</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UNICEF is drafting the concept note of the IYCF counselling hotline and will discuss with NNC.  Win Lae will share the current concept note to SAG members.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Nay will discuss with the MNCH team of UNICEF who support the general COVID-19 hotline on how the nutrition hotline can be integrated.</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UNICEF will discuss with Dy DG and NNC for their approval.</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tab/>
        <w:t xml:space="preserve">AOB</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One of the distribution of key messages would be through MMCT channel. In MCCT activities, LIFT directly supports to DSW in general and some area such as Kayin and Kayah through the partners. LIFT will share more information later.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Next SAG meeting: Friday 17 April (Time will be confirmed)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color w:val="0070c0"/>
        </w:rPr>
      </w:pPr>
      <w:bookmarkStart w:colFirst="0" w:colLast="0" w:name="_30j0zll" w:id="1"/>
      <w:bookmarkEnd w:id="1"/>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0000"/>
          <w:u w:val="single"/>
          <w:rtl w:val="0"/>
        </w:rPr>
        <w:t xml:space="preserve">Participants</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74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1699"/>
        <w:gridCol w:w="2201"/>
        <w:gridCol w:w="3070"/>
        <w:tblGridChange w:id="0">
          <w:tblGrid>
            <w:gridCol w:w="511"/>
            <w:gridCol w:w="1699"/>
            <w:gridCol w:w="2201"/>
            <w:gridCol w:w="3070"/>
          </w:tblGrid>
        </w:tblGridChange>
      </w:tblGrid>
      <w:tr>
        <w:trPr>
          <w:trHeight w:val="63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E">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F">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0">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1">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Email address</w:t>
            </w:r>
            <w:r w:rsidDel="00000000" w:rsidR="00000000" w:rsidRPr="00000000">
              <w:rPr>
                <w:rtl w:val="0"/>
              </w:rPr>
            </w:r>
          </w:p>
        </w:tc>
      </w:tr>
      <w:t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LIFT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 Lyan Zar</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nanglyanzar@unops.org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6">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7">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8">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Chaw Su Su Khaing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chawsusu.khaing@wfp.org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melody.muchimwe@wfp.org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E">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F">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0">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fumito.morinaga@wfp.org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ACF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Than Htut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nuthod@mm-actioncontrelafaim.org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6">
            <w:pPr>
              <w:spacing w:after="0" w:before="240" w:line="240" w:lineRule="auto"/>
              <w:jc w:val="both"/>
              <w:rPr>
                <w:color w:val="000000"/>
              </w:rPr>
            </w:pPr>
            <w:r w:rsidDel="00000000" w:rsidR="00000000" w:rsidRPr="00000000">
              <w:rPr>
                <w:color w:val="000000"/>
                <w:rtl w:val="0"/>
              </w:rPr>
              <w:t xml:space="preserve">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7">
            <w:pPr>
              <w:spacing w:after="0" w:before="240" w:line="240" w:lineRule="auto"/>
              <w:jc w:val="both"/>
              <w:rPr>
                <w:color w:val="000000"/>
              </w:rPr>
            </w:pPr>
            <w:r w:rsidDel="00000000" w:rsidR="00000000" w:rsidRPr="00000000">
              <w:rPr>
                <w:color w:val="000000"/>
                <w:rtl w:val="0"/>
              </w:rPr>
              <w:t xml:space="preserve">UNOPS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8">
            <w:pPr>
              <w:spacing w:after="0" w:before="240" w:line="240" w:lineRule="auto"/>
              <w:jc w:val="both"/>
              <w:rPr>
                <w:color w:val="000000"/>
              </w:rPr>
            </w:pPr>
            <w:r w:rsidDel="00000000" w:rsidR="00000000" w:rsidRPr="00000000">
              <w:rPr>
                <w:color w:val="000000"/>
                <w:rtl w:val="0"/>
              </w:rPr>
              <w:t xml:space="preserve">Jennie Hilton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9">
            <w:pPr>
              <w:spacing w:after="0" w:before="240" w:line="240" w:lineRule="auto"/>
              <w:jc w:val="both"/>
              <w:rPr>
                <w:color w:val="000000"/>
              </w:rPr>
            </w:pPr>
            <w:r w:rsidDel="00000000" w:rsidR="00000000" w:rsidRPr="00000000">
              <w:rPr>
                <w:color w:val="000000"/>
                <w:rtl w:val="0"/>
              </w:rPr>
              <w:t xml:space="preserve">jennieh@unops.org</w:t>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A">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B">
            <w:pPr>
              <w:spacing w:after="0" w:before="240" w:line="240" w:lineRule="auto"/>
              <w:jc w:val="both"/>
              <w:rPr>
                <w:color w:val="000000"/>
              </w:rPr>
            </w:pPr>
            <w:r w:rsidDel="00000000" w:rsidR="00000000" w:rsidRPr="00000000">
              <w:rPr>
                <w:color w:val="000000"/>
                <w:rtl w:val="0"/>
              </w:rPr>
              <w:t xml:space="preserve">World Concern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C">
            <w:pPr>
              <w:spacing w:after="0" w:before="240" w:line="240" w:lineRule="auto"/>
              <w:jc w:val="both"/>
              <w:rPr>
                <w:color w:val="000000"/>
              </w:rPr>
            </w:pPr>
            <w:r w:rsidDel="00000000" w:rsidR="00000000" w:rsidRPr="00000000">
              <w:rPr>
                <w:rtl w:val="0"/>
              </w:rPr>
              <w:t xml:space="preserve">Dr Wai Linn Kyaw</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D">
            <w:pPr>
              <w:spacing w:after="0" w:before="240" w:line="240" w:lineRule="auto"/>
              <w:jc w:val="both"/>
              <w:rPr>
                <w:color w:val="000000"/>
              </w:rPr>
            </w:pPr>
            <w:hyperlink r:id="rId6">
              <w:r w:rsidDel="00000000" w:rsidR="00000000" w:rsidRPr="00000000">
                <w:rPr>
                  <w:color w:val="0000ff"/>
                  <w:u w:val="single"/>
                  <w:rtl w:val="0"/>
                </w:rPr>
                <w:t xml:space="preserve">wailinkyaw@worldconcern.org</w:t>
              </w:r>
            </w:hyperlink>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E">
            <w:pPr>
              <w:spacing w:after="0" w:before="240" w:line="240" w:lineRule="auto"/>
              <w:jc w:val="both"/>
              <w:rPr>
                <w:color w:val="000000"/>
              </w:rPr>
            </w:pPr>
            <w:r w:rsidDel="00000000" w:rsidR="00000000" w:rsidRPr="00000000">
              <w:rPr>
                <w:color w:val="000000"/>
                <w:rtl w:val="0"/>
              </w:rPr>
              <w:t xml:space="preserve">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F">
            <w:pPr>
              <w:spacing w:after="0" w:before="240" w:line="240" w:lineRule="auto"/>
              <w:jc w:val="both"/>
              <w:rPr>
                <w:color w:val="000000"/>
              </w:rPr>
            </w:pPr>
            <w:r w:rsidDel="00000000" w:rsidR="00000000" w:rsidRPr="00000000">
              <w:rPr>
                <w:color w:val="000000"/>
                <w:rtl w:val="0"/>
              </w:rPr>
              <w:t xml:space="preserve">World Concern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0">
            <w:pPr>
              <w:spacing w:after="0" w:before="240" w:line="240" w:lineRule="auto"/>
              <w:jc w:val="both"/>
              <w:rPr>
                <w:color w:val="000000"/>
              </w:rPr>
            </w:pPr>
            <w:r w:rsidDel="00000000" w:rsidR="00000000" w:rsidRPr="00000000">
              <w:rPr>
                <w:rtl w:val="0"/>
              </w:rPr>
              <w:t xml:space="preserve">Dr Kyawt Thazin Oo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1">
            <w:pPr>
              <w:spacing w:after="0" w:before="240" w:line="240" w:lineRule="auto"/>
              <w:jc w:val="both"/>
              <w:rPr>
                <w:color w:val="000000"/>
              </w:rPr>
            </w:pPr>
            <w:r w:rsidDel="00000000" w:rsidR="00000000" w:rsidRPr="00000000">
              <w:rPr>
                <w:color w:val="000000"/>
                <w:rtl w:val="0"/>
              </w:rPr>
              <w:t xml:space="preserve">kyawtthazinoo</w:t>
            </w:r>
          </w:p>
        </w:tc>
      </w:tr>
      <w:tr>
        <w:trPr>
          <w:trHeight w:val="60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2">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3">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WHO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4">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Dinesh</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jeyakumarand@who.int</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6">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10</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7">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UNOPS (ACCESS)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8">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 Lei Swe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leileis@unops.org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 REACH</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 Nyi Nyi</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soe.nyinyi@wfp.org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E">
            <w:pPr>
              <w:spacing w:after="0" w:before="240" w:line="240" w:lineRule="auto"/>
              <w:jc w:val="both"/>
              <w:rPr>
                <w:color w:val="000000"/>
              </w:rPr>
            </w:pPr>
            <w:r w:rsidDel="00000000" w:rsidR="00000000" w:rsidRPr="00000000">
              <w:rPr>
                <w:color w:val="000000"/>
                <w:rtl w:val="0"/>
              </w:rPr>
              <w:t xml:space="preserve">12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F">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0">
            <w:pPr>
              <w:spacing w:after="0" w:before="240" w:line="240" w:lineRule="auto"/>
              <w:jc w:val="both"/>
              <w:rPr>
                <w:color w:val="000000"/>
              </w:rPr>
            </w:pPr>
            <w:r w:rsidDel="00000000" w:rsidR="00000000" w:rsidRPr="00000000">
              <w:rPr>
                <w:color w:val="000000"/>
                <w:rtl w:val="0"/>
              </w:rPr>
              <w:t xml:space="preserve">Jecinter</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1">
            <w:pPr>
              <w:spacing w:after="0" w:before="240" w:line="240" w:lineRule="auto"/>
              <w:jc w:val="both"/>
              <w:rPr>
                <w:color w:val="000000"/>
              </w:rPr>
            </w:pPr>
            <w:r w:rsidDel="00000000" w:rsidR="00000000" w:rsidRPr="00000000">
              <w:rPr>
                <w:color w:val="000000"/>
                <w:rtl w:val="0"/>
              </w:rPr>
              <w:t xml:space="preserve">jaoketch@unicef.org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2">
            <w:pPr>
              <w:spacing w:after="0" w:before="240" w:line="240" w:lineRule="auto"/>
              <w:jc w:val="both"/>
              <w:rPr>
                <w:color w:val="000000"/>
              </w:rPr>
            </w:pPr>
            <w:r w:rsidDel="00000000" w:rsidR="00000000" w:rsidRPr="00000000">
              <w:rPr>
                <w:color w:val="000000"/>
                <w:rtl w:val="0"/>
              </w:rPr>
              <w:t xml:space="preserve">13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3">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4">
            <w:pPr>
              <w:spacing w:after="0" w:before="240" w:line="240" w:lineRule="auto"/>
              <w:jc w:val="both"/>
              <w:rPr>
                <w:color w:val="000000"/>
              </w:rPr>
            </w:pPr>
            <w:r w:rsidDel="00000000" w:rsidR="00000000" w:rsidRPr="00000000">
              <w:rPr>
                <w:color w:val="000000"/>
                <w:rtl w:val="0"/>
              </w:rPr>
              <w:t xml:space="preserve">Win Lae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5">
            <w:pPr>
              <w:spacing w:after="0" w:before="240" w:line="240" w:lineRule="auto"/>
              <w:jc w:val="both"/>
              <w:rPr>
                <w:color w:val="000000"/>
              </w:rPr>
            </w:pPr>
            <w:r w:rsidDel="00000000" w:rsidR="00000000" w:rsidRPr="00000000">
              <w:rPr>
                <w:color w:val="000000"/>
                <w:rtl w:val="0"/>
              </w:rPr>
              <w:t xml:space="preserve">wlae@unicef.org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6">
            <w:pPr>
              <w:spacing w:after="0" w:before="240" w:line="240" w:lineRule="auto"/>
              <w:jc w:val="both"/>
              <w:rPr>
                <w:color w:val="000000"/>
              </w:rPr>
            </w:pPr>
            <w:r w:rsidDel="00000000" w:rsidR="00000000" w:rsidRPr="00000000">
              <w:rPr>
                <w:color w:val="000000"/>
                <w:rtl w:val="0"/>
              </w:rPr>
              <w:t xml:space="preserve">14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7">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8">
            <w:pPr>
              <w:spacing w:after="0" w:before="240" w:line="240" w:lineRule="auto"/>
              <w:jc w:val="both"/>
              <w:rPr>
                <w:color w:val="000000"/>
              </w:rPr>
            </w:pPr>
            <w:r w:rsidDel="00000000" w:rsidR="00000000" w:rsidRPr="00000000">
              <w:rPr>
                <w:color w:val="000000"/>
                <w:rtl w:val="0"/>
              </w:rPr>
              <w:t xml:space="preserve">Elin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9">
            <w:pPr>
              <w:spacing w:after="0" w:before="240" w:line="240" w:lineRule="auto"/>
              <w:jc w:val="both"/>
              <w:rPr>
                <w:color w:val="000000"/>
              </w:rPr>
            </w:pPr>
            <w:r w:rsidDel="00000000" w:rsidR="00000000" w:rsidRPr="00000000">
              <w:rPr>
                <w:color w:val="000000"/>
                <w:rtl w:val="0"/>
              </w:rPr>
              <w:t xml:space="preserve">enilsson@unicef.org</w:t>
            </w:r>
          </w:p>
        </w:tc>
      </w:tr>
      <w:tr>
        <w:trPr>
          <w:trHeight w:val="61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A">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B">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UNICEF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C">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Ko Pyae Phyo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paung@unicef.org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E">
            <w:pPr>
              <w:spacing w:after="0" w:before="240" w:line="240" w:lineRule="auto"/>
              <w:jc w:val="both"/>
              <w:rPr>
                <w:color w:val="000000"/>
              </w:rPr>
            </w:pPr>
            <w:r w:rsidDel="00000000" w:rsidR="00000000" w:rsidRPr="00000000">
              <w:rPr>
                <w:color w:val="000000"/>
                <w:rtl w:val="0"/>
              </w:rPr>
              <w:t xml:space="preserve">16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F">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0">
            <w:pPr>
              <w:spacing w:after="0" w:before="240" w:line="240" w:lineRule="auto"/>
              <w:jc w:val="both"/>
              <w:rPr>
                <w:color w:val="000000"/>
              </w:rPr>
            </w:pPr>
            <w:r w:rsidDel="00000000" w:rsidR="00000000" w:rsidRPr="00000000">
              <w:rPr>
                <w:color w:val="000000"/>
                <w:rtl w:val="0"/>
              </w:rPr>
              <w:t xml:space="preserve">Hedy</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1">
            <w:pPr>
              <w:spacing w:after="0" w:before="240" w:line="240" w:lineRule="auto"/>
              <w:jc w:val="both"/>
              <w:rPr>
                <w:color w:val="000000"/>
              </w:rPr>
            </w:pPr>
            <w:r w:rsidDel="00000000" w:rsidR="00000000" w:rsidRPr="00000000">
              <w:rPr>
                <w:color w:val="000000"/>
                <w:rtl w:val="0"/>
              </w:rPr>
              <w:t xml:space="preserve">hip@unicef.org</w:t>
            </w:r>
          </w:p>
        </w:tc>
      </w:tr>
      <w:tr>
        <w:trPr>
          <w:trHeight w:val="64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2">
            <w:pPr>
              <w:spacing w:after="0" w:before="240" w:line="240" w:lineRule="auto"/>
              <w:jc w:val="both"/>
              <w:rPr>
                <w:color w:val="000000"/>
              </w:rPr>
            </w:pPr>
            <w:r w:rsidDel="00000000" w:rsidR="00000000" w:rsidRPr="00000000">
              <w:rPr>
                <w:color w:val="000000"/>
                <w:rtl w:val="0"/>
              </w:rPr>
              <w:t xml:space="preserve">17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3">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4">
            <w:pPr>
              <w:spacing w:after="0" w:before="240" w:line="240" w:lineRule="auto"/>
              <w:jc w:val="both"/>
              <w:rPr>
                <w:color w:val="000000"/>
              </w:rPr>
            </w:pPr>
            <w:r w:rsidDel="00000000" w:rsidR="00000000" w:rsidRPr="00000000">
              <w:rPr>
                <w:rtl w:val="0"/>
              </w:rPr>
              <w:t xml:space="preserve">Nay Tun Kyaw</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5">
            <w:pPr>
              <w:spacing w:after="0" w:before="240" w:line="240" w:lineRule="auto"/>
              <w:jc w:val="both"/>
              <w:rPr>
                <w:color w:val="000000"/>
              </w:rPr>
            </w:pPr>
            <w:hyperlink r:id="rId7">
              <w:r w:rsidDel="00000000" w:rsidR="00000000" w:rsidRPr="00000000">
                <w:rPr>
                  <w:color w:val="0000ff"/>
                  <w:u w:val="single"/>
                  <w:rtl w:val="0"/>
                </w:rPr>
                <w:t xml:space="preserve">ntkyaw@unicef.org</w:t>
              </w:r>
            </w:hyperlink>
            <w:r w:rsidDel="00000000" w:rsidR="00000000" w:rsidRPr="00000000">
              <w:rPr>
                <w:rtl w:val="0"/>
              </w:rPr>
            </w:r>
          </w:p>
        </w:tc>
      </w:tr>
      <w:tr>
        <w:trPr>
          <w:trHeight w:val="64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6">
            <w:pPr>
              <w:spacing w:after="0" w:before="240" w:line="240" w:lineRule="auto"/>
              <w:jc w:val="both"/>
              <w:rPr>
                <w:color w:val="000000"/>
              </w:rPr>
            </w:pPr>
            <w:r w:rsidDel="00000000" w:rsidR="00000000" w:rsidRPr="00000000">
              <w:rPr>
                <w:color w:val="000000"/>
                <w:rtl w:val="0"/>
              </w:rPr>
              <w:t xml:space="preserve">18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7">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8">
            <w:pPr>
              <w:spacing w:after="0" w:before="240" w:line="240" w:lineRule="auto"/>
              <w:jc w:val="both"/>
              <w:rPr/>
            </w:pPr>
            <w:r w:rsidDel="00000000" w:rsidR="00000000" w:rsidRPr="00000000">
              <w:rPr>
                <w:color w:val="000000"/>
                <w:rtl w:val="0"/>
              </w:rPr>
              <w:t xml:space="preserve">Dr Kyaw Win Sein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9">
            <w:pPr>
              <w:spacing w:after="0" w:before="240" w:line="240" w:lineRule="auto"/>
              <w:jc w:val="both"/>
              <w:rPr>
                <w:color w:val="000000"/>
              </w:rPr>
            </w:pPr>
            <w:r w:rsidDel="00000000" w:rsidR="00000000" w:rsidRPr="00000000">
              <w:rPr>
                <w:color w:val="000000"/>
                <w:rtl w:val="0"/>
              </w:rPr>
              <w:t xml:space="preserve">kwsein@unicef.org</w:t>
            </w:r>
          </w:p>
        </w:tc>
      </w:tr>
    </w:tbl>
    <w:p w:rsidR="00000000" w:rsidDel="00000000" w:rsidP="00000000" w:rsidRDefault="00000000" w:rsidRPr="00000000" w14:paraId="000000AA">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b w:val="1"/>
          <w:color w:val="548dd4"/>
          <w:u w:val="single"/>
        </w:rPr>
      </w:pPr>
      <w:r w:rsidDel="00000000" w:rsidR="00000000" w:rsidRPr="00000000">
        <w:rPr>
          <w:rtl w:val="0"/>
        </w:rPr>
      </w:r>
    </w:p>
    <w:sectPr>
      <w:headerReference r:id="rId8" w:type="default"/>
      <w:footerReference r:id="rId9"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4"/>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3"/>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c>
        <w:tcPr/>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pos="4680"/>
              <w:tab w:val="right" w:pos="9360"/>
            </w:tabs>
            <w:ind w:left="86"/>
            <w:rPr>
              <w:b w:val="1"/>
              <w:color w:val="1f497d"/>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pos="4680"/>
              <w:tab w:val="right" w:pos="9360"/>
            </w:tabs>
            <w:ind w:left="3600"/>
            <w:rPr>
              <w:color w:val="1f497d"/>
            </w:rPr>
          </w:pPr>
          <w:r w:rsidDel="00000000" w:rsidR="00000000" w:rsidRPr="00000000">
            <w:rPr>
              <w:color w:val="000000"/>
            </w:rPr>
            <w:drawing>
              <wp:inline distB="0" distT="0" distL="0" distR="0">
                <wp:extent cx="336901" cy="4020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wailinkyaw@worldconcern.org" TargetMode="External"/><Relationship Id="rId7" Type="http://schemas.openxmlformats.org/officeDocument/2006/relationships/hyperlink" Target="mailto:ntkyaw@unicef.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