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jc w:val="center"/>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Nutrition in Emergency (NiE) SAG meeting, Myanmar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Zoom meeting, 01 May 2020, 11:30-13:00</w:t>
      </w:r>
    </w:p>
    <w:p w:rsidR="00000000" w:rsidDel="00000000" w:rsidP="00000000" w:rsidRDefault="00000000" w:rsidRPr="00000000" w14:paraId="00000003">
      <w:pPr>
        <w:pStyle w:val="Heading1"/>
        <w:spacing w:after="120"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Meeting minutes</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w:t>
      </w:r>
      <w:r w:rsidDel="00000000" w:rsidR="00000000" w:rsidRPr="00000000">
        <w:rPr>
          <w:rFonts w:ascii="Times New Roman" w:cs="Times New Roman" w:eastAsia="Times New Roman" w:hAnsi="Times New Roman"/>
          <w:rtl w:val="0"/>
        </w:rPr>
        <w:t xml:space="preserve">: UNICEF on behalf of the nutrition sector</w:t>
      </w:r>
    </w:p>
    <w:p w:rsidR="00000000" w:rsidDel="00000000" w:rsidP="00000000" w:rsidRDefault="00000000" w:rsidRPr="00000000" w14:paraId="00000005">
      <w:pPr>
        <w:pStyle w:val="Heading2"/>
        <w:spacing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Agenda</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numPr>
          <w:ilvl w:val="0"/>
          <w:numId w:val="2"/>
        </w:numPr>
        <w:spacing w:after="0" w:afterAutospacing="0" w:lineRule="auto"/>
        <w:ind w:hanging="360"/>
        <w:rPr>
          <w:rFonts w:ascii="Arial" w:cs="Arial" w:eastAsia="Arial" w:hAnsi="Arial"/>
        </w:rPr>
      </w:pPr>
      <w:r w:rsidDel="00000000" w:rsidR="00000000" w:rsidRPr="00000000">
        <w:rPr>
          <w:rFonts w:ascii="Times New Roman" w:cs="Times New Roman" w:eastAsia="Times New Roman" w:hAnsi="Times New Roman"/>
          <w:rtl w:val="0"/>
        </w:rPr>
        <w:t xml:space="preserve">Action points from previous meeting</w:t>
      </w:r>
    </w:p>
    <w:p w:rsidR="00000000" w:rsidDel="00000000" w:rsidP="00000000" w:rsidRDefault="00000000" w:rsidRPr="00000000" w14:paraId="00000008">
      <w:pPr>
        <w:numPr>
          <w:ilvl w:val="0"/>
          <w:numId w:val="2"/>
        </w:numPr>
        <w:spacing w:after="0" w:afterAutospacing="0" w:lineRule="auto"/>
        <w:ind w:hanging="360"/>
        <w:rPr>
          <w:rFonts w:ascii="Arial" w:cs="Arial" w:eastAsia="Arial" w:hAnsi="Arial"/>
        </w:rPr>
      </w:pPr>
      <w:r w:rsidDel="00000000" w:rsidR="00000000" w:rsidRPr="00000000">
        <w:rPr>
          <w:rFonts w:ascii="Times New Roman" w:cs="Times New Roman" w:eastAsia="Times New Roman" w:hAnsi="Times New Roman"/>
          <w:rtl w:val="0"/>
        </w:rPr>
        <w:t xml:space="preserve">Feedback and update from the two day orientation and any adjustments needed to the technical guidance.</w:t>
      </w:r>
    </w:p>
    <w:p w:rsidR="00000000" w:rsidDel="00000000" w:rsidP="00000000" w:rsidRDefault="00000000" w:rsidRPr="00000000" w14:paraId="00000009">
      <w:pPr>
        <w:numPr>
          <w:ilvl w:val="0"/>
          <w:numId w:val="2"/>
        </w:numPr>
        <w:spacing w:after="0" w:afterAutospacing="0" w:lineRule="auto"/>
        <w:ind w:hanging="360"/>
        <w:rPr>
          <w:rFonts w:ascii="Arial" w:cs="Arial" w:eastAsia="Arial" w:hAnsi="Arial"/>
        </w:rPr>
      </w:pPr>
      <w:r w:rsidDel="00000000" w:rsidR="00000000" w:rsidRPr="00000000">
        <w:rPr>
          <w:rFonts w:ascii="Times New Roman" w:cs="Times New Roman" w:eastAsia="Times New Roman" w:hAnsi="Times New Roman"/>
          <w:rtl w:val="0"/>
        </w:rPr>
        <w:t xml:space="preserve">Nutrition sensitive activities to be included in the next guidance note – lead by ACCESS/LIFT</w:t>
      </w:r>
    </w:p>
    <w:p w:rsidR="00000000" w:rsidDel="00000000" w:rsidP="00000000" w:rsidRDefault="00000000" w:rsidRPr="00000000" w14:paraId="0000000A">
      <w:pPr>
        <w:numPr>
          <w:ilvl w:val="0"/>
          <w:numId w:val="2"/>
        </w:numPr>
        <w:spacing w:after="0" w:afterAutospacing="0" w:lineRule="auto"/>
        <w:ind w:hanging="360"/>
        <w:rPr>
          <w:rFonts w:ascii="Arial" w:cs="Arial" w:eastAsia="Arial" w:hAnsi="Arial"/>
        </w:rPr>
      </w:pPr>
      <w:r w:rsidDel="00000000" w:rsidR="00000000" w:rsidRPr="00000000">
        <w:rPr>
          <w:rFonts w:ascii="Times New Roman" w:cs="Times New Roman" w:eastAsia="Times New Roman" w:hAnsi="Times New Roman"/>
          <w:rtl w:val="0"/>
        </w:rPr>
        <w:t xml:space="preserve">Collective response plan and indicators, targets and NIS methodologies</w:t>
      </w:r>
    </w:p>
    <w:p w:rsidR="00000000" w:rsidDel="00000000" w:rsidP="00000000" w:rsidRDefault="00000000" w:rsidRPr="00000000" w14:paraId="0000000B">
      <w:pPr>
        <w:numPr>
          <w:ilvl w:val="0"/>
          <w:numId w:val="2"/>
        </w:numPr>
        <w:spacing w:after="0" w:afterAutospacing="0" w:lineRule="auto"/>
        <w:ind w:hanging="360"/>
        <w:rPr>
          <w:rFonts w:ascii="Arial" w:cs="Arial" w:eastAsia="Arial" w:hAnsi="Arial"/>
        </w:rPr>
      </w:pPr>
      <w:r w:rsidDel="00000000" w:rsidR="00000000" w:rsidRPr="00000000">
        <w:rPr>
          <w:rFonts w:ascii="Times New Roman" w:cs="Times New Roman" w:eastAsia="Times New Roman" w:hAnsi="Times New Roman"/>
          <w:rtl w:val="0"/>
        </w:rPr>
        <w:t xml:space="preserve">Next orientation topic, dates and time</w:t>
      </w:r>
    </w:p>
    <w:p w:rsidR="00000000" w:rsidDel="00000000" w:rsidP="00000000" w:rsidRDefault="00000000" w:rsidRPr="00000000" w14:paraId="0000000C">
      <w:pPr>
        <w:numPr>
          <w:ilvl w:val="0"/>
          <w:numId w:val="2"/>
        </w:numPr>
        <w:spacing w:after="0" w:afterAutospacing="0" w:lineRule="auto"/>
        <w:ind w:hanging="360"/>
        <w:rPr>
          <w:rFonts w:ascii="Arial" w:cs="Arial" w:eastAsia="Arial" w:hAnsi="Arial"/>
        </w:rPr>
      </w:pPr>
      <w:r w:rsidDel="00000000" w:rsidR="00000000" w:rsidRPr="00000000">
        <w:rPr>
          <w:rFonts w:ascii="Times New Roman" w:cs="Times New Roman" w:eastAsia="Times New Roman" w:hAnsi="Times New Roman"/>
          <w:rtl w:val="0"/>
        </w:rPr>
        <w:t xml:space="preserve">Brief discussion on supply chain- gaps, distribution and monitoring.</w:t>
      </w:r>
    </w:p>
    <w:p w:rsidR="00000000" w:rsidDel="00000000" w:rsidP="00000000" w:rsidRDefault="00000000" w:rsidRPr="00000000" w14:paraId="0000000D">
      <w:pPr>
        <w:numPr>
          <w:ilvl w:val="0"/>
          <w:numId w:val="2"/>
        </w:numPr>
        <w:spacing w:after="240" w:lineRule="auto"/>
        <w:ind w:hanging="360"/>
        <w:rPr>
          <w:rFonts w:ascii="Arial" w:cs="Arial" w:eastAsia="Arial" w:hAnsi="Arial"/>
        </w:rPr>
      </w:pPr>
      <w:r w:rsidDel="00000000" w:rsidR="00000000" w:rsidRPr="00000000">
        <w:rPr>
          <w:rFonts w:ascii="Times New Roman" w:cs="Times New Roman" w:eastAsia="Times New Roman" w:hAnsi="Times New Roman"/>
          <w:rtl w:val="0"/>
        </w:rPr>
        <w:t xml:space="preserve">AOB</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Discussion Note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w:t>
        <w:tab/>
      </w:r>
      <w:r w:rsidDel="00000000" w:rsidR="00000000" w:rsidRPr="00000000">
        <w:rPr>
          <w:rFonts w:ascii="Times New Roman" w:cs="Times New Roman" w:eastAsia="Times New Roman" w:hAnsi="Times New Roman"/>
          <w:rtl w:val="0"/>
        </w:rPr>
        <w:t xml:space="preserve">Action points from previous meeting</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Guidance package April version was shared to the SAG members and partners. Feedback will be collected through google drive and the focal person is Dr KWS.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Other activities such as development of Nutrition COVID C4D materials and coordination with ACCESS and LIFT to partnership in COVID-19 response are ongoing.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Due to the busy schedule of the MoHS and other priorities, the IYCF hotline and volunteer ToR are still pending.</w:t>
        <w:tab/>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tab/>
      </w:r>
      <w:r w:rsidDel="00000000" w:rsidR="00000000" w:rsidRPr="00000000">
        <w:rPr>
          <w:rFonts w:ascii="Times New Roman" w:cs="Times New Roman" w:eastAsia="Times New Roman" w:hAnsi="Times New Roman"/>
          <w:rtl w:val="0"/>
        </w:rPr>
        <w:t xml:space="preserve">Feedback and update from the two day orientation and any adjustments needed to the technical guidance.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Two days orientation training went well and following feedback was received.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Social distancing: It was  discussed to reduce to 5 participants from 15 as it requires for 2 meters apart and would be more realistic in Myanmar context.</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Triage component is missing in the guideline. Monthly follow up for IMAM is too long in reality.</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CPI suggested to expand the nutrition services to the EHO area.</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Quantity of RUTF in emergency</w:t>
      </w:r>
    </w:p>
    <w:p w:rsidR="00000000" w:rsidDel="00000000" w:rsidP="00000000" w:rsidRDefault="00000000" w:rsidRPr="00000000" w14:paraId="0000002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discussion about the quantity of RUTF packages; 3 packets of RUTF for SAM/day which may increase the potential pipeline break. And as per the global recommendation which is either provided accordingly by Body Weight or 2 packets/day. Dr Than for ACF will share the global evidence on the requirement of RUTF and will discuss further.</w:t>
      </w:r>
    </w:p>
    <w:p w:rsidR="00000000" w:rsidDel="00000000" w:rsidP="00000000" w:rsidRDefault="00000000" w:rsidRPr="00000000" w14:paraId="0000002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Nay suggested to revise; If resources are available, 3 sachets per day and if not, 2 packets for children under 3 years of age and 3 sachets for children who aged over 3 years to 5.</w:t>
      </w:r>
    </w:p>
    <w:p w:rsidR="00000000" w:rsidDel="00000000" w:rsidP="00000000" w:rsidRDefault="00000000" w:rsidRPr="00000000" w14:paraId="0000002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guidance notes for Maternal nutrition will be supported by ACF and Adolescent nutrition by Dr KWS.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tab/>
      </w:r>
      <w:r w:rsidDel="00000000" w:rsidR="00000000" w:rsidRPr="00000000">
        <w:rPr>
          <w:rFonts w:ascii="Times New Roman" w:cs="Times New Roman" w:eastAsia="Times New Roman" w:hAnsi="Times New Roman"/>
          <w:rtl w:val="0"/>
        </w:rPr>
        <w:t xml:space="preserve">Nutrition sensitive activities to be included in the next guidance note – lead by ACCESS/LIFT</w:t>
      </w:r>
    </w:p>
    <w:p w:rsidR="00000000" w:rsidDel="00000000" w:rsidP="00000000" w:rsidRDefault="00000000" w:rsidRPr="00000000" w14:paraId="00000029">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LIFT will lead the process of developing nutrition sensitive activities including MCCT, social pension and agriculture to be included in the next guidance note. Anna-Lisa from FAO, WFP (Fumito) and WHO (Dinesh) will participate.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Melody will reach out to World Fish and Dinesh will be copied in the loop to discuss and add more information about Dry fish.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after="0" w:line="24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Regards to the meal planning for the quarantine centres, LIFT drafted and in discussion with Dinesh. WFP and Nang Lyan can work together. LIFT will share the draft version with SAG today. .</w:t>
      </w:r>
    </w:p>
    <w:p w:rsidR="00000000" w:rsidDel="00000000" w:rsidP="00000000" w:rsidRDefault="00000000" w:rsidRPr="00000000" w14:paraId="0000002E">
      <w:pPr>
        <w:spacing w:after="0" w:line="24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24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Orientation for nutrition-sensitive can be followed.</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tab/>
      </w:r>
      <w:r w:rsidDel="00000000" w:rsidR="00000000" w:rsidRPr="00000000">
        <w:rPr>
          <w:rFonts w:ascii="Times New Roman" w:cs="Times New Roman" w:eastAsia="Times New Roman" w:hAnsi="Times New Roman"/>
          <w:rtl w:val="0"/>
        </w:rPr>
        <w:t xml:space="preserve">Collective response plan and indicators, targets and NIS methodologies</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Jecinter shared the proposed indicators and targets with the SAG members prior to the meeting. The collection of feedback will be processed through email.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tab/>
      </w:r>
      <w:r w:rsidDel="00000000" w:rsidR="00000000" w:rsidRPr="00000000">
        <w:rPr>
          <w:rFonts w:ascii="Times New Roman" w:cs="Times New Roman" w:eastAsia="Times New Roman" w:hAnsi="Times New Roman"/>
          <w:rtl w:val="0"/>
        </w:rPr>
        <w:t xml:space="preserve">Next orientation topic, dates and time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Dr KWS and Dr Nay are planning to conduct training in the coming weeks. Detailed date and time will be announced later.</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depth training for cIYCF and IMAM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 training (cIYCF counselling, IMAM active case finding and Referral)</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MUAC screening by mother/caregivers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Vitamin A Deficiency, Beriberi in depth training</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Data Collection by Social Media</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tab/>
        <w:t xml:space="preserve">Brief discussion on supply chain- gaps, distribution and monitoring.</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It will be discussed through emails.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AOB</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Due to the conflict with UNICEF team meeting, it was requested to move to 12.00 noon Friday.</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Next SAG Meeting-Friday 12.00 pm-1.30 pm</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0000"/>
          <w:u w:val="single"/>
          <w:rtl w:val="0"/>
        </w:rPr>
        <w:t xml:space="preserve">Participants</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74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1699"/>
        <w:gridCol w:w="2201"/>
        <w:gridCol w:w="3070"/>
        <w:tblGridChange w:id="0">
          <w:tblGrid>
            <w:gridCol w:w="511"/>
            <w:gridCol w:w="1699"/>
            <w:gridCol w:w="2201"/>
            <w:gridCol w:w="3070"/>
          </w:tblGrid>
        </w:tblGridChange>
      </w:tblGrid>
      <w:tr>
        <w:trPr>
          <w:trHeight w:val="63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B">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C">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D">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E">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Email address</w:t>
            </w:r>
            <w:r w:rsidDel="00000000" w:rsidR="00000000" w:rsidRPr="00000000">
              <w:rPr>
                <w:rtl w:val="0"/>
              </w:rPr>
            </w:r>
          </w:p>
        </w:tc>
      </w:tr>
      <w:t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4F">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0">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LIFT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 Lyan Zar</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nanglyanzar@unops.org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Chaw Su Su Khaing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6">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chawsusu.khaing@wfp.org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7">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8">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melody.muchimwe@wfp.org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E">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fumito.morinaga@wfp.org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F">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0">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ACF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Than Htut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nuthod@mm-actioncontrelafaim.org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3">
            <w:pPr>
              <w:spacing w:after="0" w:before="240" w:line="240" w:lineRule="auto"/>
              <w:jc w:val="both"/>
              <w:rPr>
                <w:color w:val="000000"/>
              </w:rPr>
            </w:pPr>
            <w:r w:rsidDel="00000000" w:rsidR="00000000" w:rsidRPr="00000000">
              <w:rPr>
                <w:color w:val="000000"/>
                <w:rtl w:val="0"/>
              </w:rPr>
              <w:t xml:space="preserve">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4">
            <w:pPr>
              <w:spacing w:after="0" w:before="240" w:line="240" w:lineRule="auto"/>
              <w:jc w:val="both"/>
              <w:rPr>
                <w:color w:val="000000"/>
              </w:rPr>
            </w:pPr>
            <w:r w:rsidDel="00000000" w:rsidR="00000000" w:rsidRPr="00000000">
              <w:rPr>
                <w:color w:val="000000"/>
                <w:rtl w:val="0"/>
              </w:rPr>
              <w:t xml:space="preserve">UNOPS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5">
            <w:pPr>
              <w:spacing w:after="0" w:before="240" w:line="240" w:lineRule="auto"/>
              <w:jc w:val="both"/>
              <w:rPr>
                <w:color w:val="000000"/>
              </w:rPr>
            </w:pPr>
            <w:r w:rsidDel="00000000" w:rsidR="00000000" w:rsidRPr="00000000">
              <w:rPr>
                <w:color w:val="000000"/>
                <w:rtl w:val="0"/>
              </w:rPr>
              <w:t xml:space="preserve">Jennie Hilton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6">
            <w:pPr>
              <w:spacing w:after="0" w:before="240" w:line="240" w:lineRule="auto"/>
              <w:jc w:val="both"/>
              <w:rPr>
                <w:color w:val="000000"/>
              </w:rPr>
            </w:pPr>
            <w:r w:rsidDel="00000000" w:rsidR="00000000" w:rsidRPr="00000000">
              <w:rPr>
                <w:color w:val="000000"/>
                <w:rtl w:val="0"/>
              </w:rPr>
              <w:t xml:space="preserve">jennieh@unops.org</w:t>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7">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8">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9">
            <w:pPr>
              <w:spacing w:before="240" w:lineRule="auto"/>
              <w:jc w:val="both"/>
              <w:rPr/>
            </w:pPr>
            <w:r w:rsidDel="00000000" w:rsidR="00000000" w:rsidRPr="00000000">
              <w:rPr>
                <w:rtl w:val="0"/>
              </w:rPr>
              <w:t xml:space="preserve">Nay Tun Kyaw</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A">
            <w:pPr>
              <w:spacing w:before="240" w:lineRule="auto"/>
              <w:jc w:val="both"/>
              <w:rPr/>
            </w:pPr>
            <w:hyperlink r:id="rId6">
              <w:r w:rsidDel="00000000" w:rsidR="00000000" w:rsidRPr="00000000">
                <w:rPr>
                  <w:color w:val="0000ff"/>
                  <w:u w:val="single"/>
                  <w:rtl w:val="0"/>
                </w:rPr>
                <w:t xml:space="preserve">ntkyaw@unicef.org</w:t>
              </w:r>
            </w:hyperlink>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B">
            <w:pPr>
              <w:spacing w:after="0" w:before="240" w:line="240" w:lineRule="auto"/>
              <w:jc w:val="both"/>
              <w:rPr>
                <w:color w:val="000000"/>
              </w:rPr>
            </w:pPr>
            <w:r w:rsidDel="00000000" w:rsidR="00000000" w:rsidRPr="00000000">
              <w:rPr>
                <w:color w:val="000000"/>
                <w:rtl w:val="0"/>
              </w:rPr>
              <w:t xml:space="preserve">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C">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D">
            <w:pPr>
              <w:spacing w:before="240" w:lineRule="auto"/>
              <w:jc w:val="both"/>
              <w:rPr/>
            </w:pPr>
            <w:r w:rsidDel="00000000" w:rsidR="00000000" w:rsidRPr="00000000">
              <w:rPr>
                <w:rtl w:val="0"/>
              </w:rPr>
              <w:t xml:space="preserve">Dr Kyaw Win Sein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E">
            <w:pPr>
              <w:spacing w:before="240" w:lineRule="auto"/>
              <w:jc w:val="both"/>
              <w:rPr/>
            </w:pPr>
            <w:r w:rsidDel="00000000" w:rsidR="00000000" w:rsidRPr="00000000">
              <w:rPr>
                <w:rtl w:val="0"/>
              </w:rPr>
              <w:t xml:space="preserve">kwsein@unicef.org</w:t>
            </w:r>
          </w:p>
        </w:tc>
      </w:tr>
      <w:tr>
        <w:trPr>
          <w:trHeight w:val="60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F">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0">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WHO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Dinesh Jeyakumaran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jeyakumarand@who.int</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10</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UNOPS (ACCESS)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 Lei Swe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6">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leileis@unops.org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7">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8">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 REACH</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 Nyi Nyi</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soe.nyinyi@wfp.org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B">
            <w:pPr>
              <w:spacing w:after="0" w:before="240" w:line="240" w:lineRule="auto"/>
              <w:jc w:val="both"/>
              <w:rPr>
                <w:color w:val="000000"/>
              </w:rPr>
            </w:pPr>
            <w:r w:rsidDel="00000000" w:rsidR="00000000" w:rsidRPr="00000000">
              <w:rPr>
                <w:color w:val="000000"/>
                <w:rtl w:val="0"/>
              </w:rPr>
              <w:t xml:space="preserve">12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C">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D">
            <w:pPr>
              <w:spacing w:after="0" w:before="240" w:line="240" w:lineRule="auto"/>
              <w:jc w:val="both"/>
              <w:rPr>
                <w:color w:val="000000"/>
              </w:rPr>
            </w:pPr>
            <w:r w:rsidDel="00000000" w:rsidR="00000000" w:rsidRPr="00000000">
              <w:rPr>
                <w:color w:val="000000"/>
                <w:rtl w:val="0"/>
              </w:rPr>
              <w:t xml:space="preserve">Jecinter</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E">
            <w:pPr>
              <w:spacing w:after="0" w:before="240" w:line="240" w:lineRule="auto"/>
              <w:jc w:val="both"/>
              <w:rPr>
                <w:color w:val="000000"/>
              </w:rPr>
            </w:pPr>
            <w:r w:rsidDel="00000000" w:rsidR="00000000" w:rsidRPr="00000000">
              <w:rPr>
                <w:color w:val="000000"/>
                <w:rtl w:val="0"/>
              </w:rPr>
              <w:t xml:space="preserve">jaoketch@unicef.org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F">
            <w:pPr>
              <w:spacing w:after="0" w:before="240" w:line="240" w:lineRule="auto"/>
              <w:jc w:val="both"/>
              <w:rPr>
                <w:color w:val="000000"/>
              </w:rPr>
            </w:pPr>
            <w:r w:rsidDel="00000000" w:rsidR="00000000" w:rsidRPr="00000000">
              <w:rPr>
                <w:color w:val="000000"/>
                <w:rtl w:val="0"/>
              </w:rPr>
              <w:t xml:space="preserve">13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0">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1">
            <w:pPr>
              <w:spacing w:after="0" w:before="240" w:line="240" w:lineRule="auto"/>
              <w:jc w:val="both"/>
              <w:rPr>
                <w:color w:val="000000"/>
              </w:rPr>
            </w:pPr>
            <w:r w:rsidDel="00000000" w:rsidR="00000000" w:rsidRPr="00000000">
              <w:rPr>
                <w:color w:val="000000"/>
                <w:rtl w:val="0"/>
              </w:rPr>
              <w:t xml:space="preserve">Win Lae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2">
            <w:pPr>
              <w:spacing w:after="0" w:before="240" w:line="240" w:lineRule="auto"/>
              <w:jc w:val="both"/>
              <w:rPr>
                <w:color w:val="000000"/>
              </w:rPr>
            </w:pPr>
            <w:r w:rsidDel="00000000" w:rsidR="00000000" w:rsidRPr="00000000">
              <w:rPr>
                <w:color w:val="000000"/>
                <w:rtl w:val="0"/>
              </w:rPr>
              <w:t xml:space="preserve">wlae@unicef.org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3">
            <w:pPr>
              <w:spacing w:after="0" w:before="240" w:line="240" w:lineRule="auto"/>
              <w:jc w:val="both"/>
              <w:rPr>
                <w:color w:val="000000"/>
              </w:rPr>
            </w:pPr>
            <w:r w:rsidDel="00000000" w:rsidR="00000000" w:rsidRPr="00000000">
              <w:rPr>
                <w:color w:val="000000"/>
                <w:rtl w:val="0"/>
              </w:rPr>
              <w:t xml:space="preserve">14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4">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5">
            <w:pPr>
              <w:spacing w:after="0" w:before="240" w:line="240" w:lineRule="auto"/>
              <w:jc w:val="both"/>
              <w:rPr>
                <w:color w:val="000000"/>
              </w:rPr>
            </w:pPr>
            <w:r w:rsidDel="00000000" w:rsidR="00000000" w:rsidRPr="00000000">
              <w:rPr>
                <w:color w:val="000000"/>
                <w:rtl w:val="0"/>
              </w:rPr>
              <w:t xml:space="preserve">Elin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6">
            <w:pPr>
              <w:spacing w:after="0" w:before="240" w:line="240" w:lineRule="auto"/>
              <w:jc w:val="both"/>
              <w:rPr>
                <w:color w:val="000000"/>
              </w:rPr>
            </w:pPr>
            <w:r w:rsidDel="00000000" w:rsidR="00000000" w:rsidRPr="00000000">
              <w:rPr>
                <w:color w:val="000000"/>
                <w:rtl w:val="0"/>
              </w:rPr>
              <w:t xml:space="preserve">enilsson@unicef.org</w:t>
            </w:r>
          </w:p>
        </w:tc>
      </w:tr>
      <w:tr>
        <w:trPr>
          <w:trHeight w:val="61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7">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8">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UNICEF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Pyae Phyo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paung@unicef.org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B">
            <w:pPr>
              <w:spacing w:after="0" w:before="240" w:line="240" w:lineRule="auto"/>
              <w:jc w:val="both"/>
              <w:rPr>
                <w:color w:val="000000"/>
              </w:rPr>
            </w:pPr>
            <w:r w:rsidDel="00000000" w:rsidR="00000000" w:rsidRPr="00000000">
              <w:rPr>
                <w:color w:val="000000"/>
                <w:rtl w:val="0"/>
              </w:rPr>
              <w:t xml:space="preserve">16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C">
            <w:pPr>
              <w:spacing w:after="0" w:before="240" w:line="240" w:lineRule="auto"/>
              <w:jc w:val="both"/>
              <w:rPr>
                <w:color w:val="000000"/>
              </w:rPr>
            </w:pPr>
            <w:r w:rsidDel="00000000" w:rsidR="00000000" w:rsidRPr="00000000">
              <w:rPr>
                <w:rtl w:val="0"/>
              </w:rPr>
              <w:t xml:space="preserve">UNOPS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D">
            <w:pPr>
              <w:spacing w:after="0" w:before="240" w:line="240" w:lineRule="auto"/>
              <w:jc w:val="both"/>
              <w:rPr>
                <w:color w:val="000000"/>
              </w:rPr>
            </w:pPr>
            <w:r w:rsidDel="00000000" w:rsidR="00000000" w:rsidRPr="00000000">
              <w:rPr>
                <w:rtl w:val="0"/>
              </w:rPr>
              <w:t xml:space="preserve">Kyaw Htin Soe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E">
            <w:pPr>
              <w:spacing w:after="0" w:before="240" w:line="240" w:lineRule="auto"/>
              <w:jc w:val="both"/>
              <w:rPr>
                <w:color w:val="000000"/>
              </w:rPr>
            </w:pPr>
            <w:r w:rsidDel="00000000" w:rsidR="00000000" w:rsidRPr="00000000">
              <w:rPr>
                <w:rtl w:val="0"/>
              </w:rPr>
              <w:t xml:space="preserve">kyawhtins@unops.org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F">
            <w:pPr>
              <w:spacing w:after="0" w:before="240" w:line="240" w:lineRule="auto"/>
              <w:jc w:val="both"/>
              <w:rPr>
                <w:color w:val="000000"/>
              </w:rPr>
            </w:pPr>
            <w:r w:rsidDel="00000000" w:rsidR="00000000" w:rsidRPr="00000000">
              <w:rPr>
                <w:rtl w:val="0"/>
              </w:rPr>
              <w:t xml:space="preserve">17</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0">
            <w:pPr>
              <w:spacing w:after="0" w:before="240" w:line="240" w:lineRule="auto"/>
              <w:jc w:val="both"/>
              <w:rPr/>
            </w:pPr>
            <w:r w:rsidDel="00000000" w:rsidR="00000000" w:rsidRPr="00000000">
              <w:rPr>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1">
            <w:pPr>
              <w:spacing w:before="240" w:lineRule="auto"/>
              <w:jc w:val="both"/>
              <w:rPr/>
            </w:pPr>
            <w:r w:rsidDel="00000000" w:rsidR="00000000" w:rsidRPr="00000000">
              <w:rPr>
                <w:rtl w:val="0"/>
              </w:rPr>
              <w:t xml:space="preserve">Camilo Gomez Restrepo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2">
            <w:pPr>
              <w:spacing w:after="0" w:before="240" w:line="240" w:lineRule="auto"/>
              <w:jc w:val="both"/>
              <w:rPr/>
            </w:pPr>
            <w:r w:rsidDel="00000000" w:rsidR="00000000" w:rsidRPr="00000000">
              <w:rPr>
                <w:rtl w:val="0"/>
              </w:rPr>
              <w:t xml:space="preserve">Camilo.GomezRestrepo@savethechildren.org</w:t>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3">
            <w:pPr>
              <w:spacing w:after="0" w:before="240" w:line="240" w:lineRule="auto"/>
              <w:jc w:val="both"/>
              <w:rPr/>
            </w:pPr>
            <w:r w:rsidDel="00000000" w:rsidR="00000000" w:rsidRPr="00000000">
              <w:rPr>
                <w:rtl w:val="0"/>
              </w:rPr>
              <w:t xml:space="preserve">18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4">
            <w:pPr>
              <w:spacing w:after="0" w:before="240" w:line="240" w:lineRule="auto"/>
              <w:jc w:val="both"/>
              <w:rPr/>
            </w:pPr>
            <w:r w:rsidDel="00000000" w:rsidR="00000000" w:rsidRPr="00000000">
              <w:rPr>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5">
            <w:pPr>
              <w:spacing w:before="240" w:lineRule="auto"/>
              <w:jc w:val="both"/>
              <w:rPr/>
            </w:pPr>
            <w:r w:rsidDel="00000000" w:rsidR="00000000" w:rsidRPr="00000000">
              <w:rPr>
                <w:rtl w:val="0"/>
              </w:rPr>
              <w:t xml:space="preserve">Sanda 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6">
            <w:pPr>
              <w:spacing w:after="0" w:before="240" w:line="240" w:lineRule="auto"/>
              <w:jc w:val="both"/>
              <w:rPr/>
            </w:pPr>
            <w:r w:rsidDel="00000000" w:rsidR="00000000" w:rsidRPr="00000000">
              <w:rPr>
                <w:rtl w:val="0"/>
              </w:rPr>
              <w:t xml:space="preserve">Sanda.Lin@savethechildren.org</w:t>
            </w:r>
          </w:p>
        </w:tc>
      </w:tr>
    </w:tbl>
    <w:p w:rsidR="00000000" w:rsidDel="00000000" w:rsidP="00000000" w:rsidRDefault="00000000" w:rsidRPr="00000000" w14:paraId="00000097">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b w:val="1"/>
          <w:color w:val="548dd4"/>
          <w:u w:val="single"/>
        </w:rPr>
      </w:pPr>
      <w:r w:rsidDel="00000000" w:rsidR="00000000" w:rsidRPr="00000000">
        <w:rPr>
          <w:rtl w:val="0"/>
        </w:rPr>
      </w:r>
    </w:p>
    <w:sectPr>
      <w:headerReference r:id="rId7" w:type="default"/>
      <w:footerReference r:id="rId8"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3"/>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2"/>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c>
        <w:tcPr/>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pos="4680"/>
              <w:tab w:val="right" w:pos="9360"/>
            </w:tabs>
            <w:ind w:left="86"/>
            <w:rPr>
              <w:b w:val="1"/>
              <w:color w:val="1f497d"/>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680"/>
              <w:tab w:val="right" w:pos="9360"/>
            </w:tabs>
            <w:ind w:left="3600"/>
            <w:rPr>
              <w:color w:val="1f497d"/>
            </w:rPr>
          </w:pPr>
          <w:r w:rsidDel="00000000" w:rsidR="00000000" w:rsidRPr="00000000">
            <w:rPr>
              <w:color w:val="000000"/>
            </w:rPr>
            <w:drawing>
              <wp:inline distB="0" distT="0" distL="0" distR="0">
                <wp:extent cx="336901" cy="4020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tkyaw@unicef.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