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5C73D" w14:textId="77777777" w:rsidR="00A814DC" w:rsidRDefault="00A814D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1D9767C" w14:textId="7BE9ED16" w:rsidR="00A814DC" w:rsidRPr="000644B7" w:rsidRDefault="00307A8F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EF5AA0">
        <w:rPr>
          <w:rFonts w:ascii="Arial" w:eastAsia="Arial" w:hAnsi="Arial" w:cs="Arial"/>
          <w:b/>
          <w:sz w:val="22"/>
          <w:szCs w:val="22"/>
        </w:rPr>
        <w:t xml:space="preserve">Minutes of IM Network Meeting: </w:t>
      </w:r>
      <w:r w:rsidR="00CE4CED">
        <w:rPr>
          <w:rFonts w:ascii="Arial" w:eastAsia="Arial" w:hAnsi="Arial" w:cs="Arial"/>
          <w:b/>
          <w:sz w:val="22"/>
          <w:szCs w:val="22"/>
        </w:rPr>
        <w:t>7</w:t>
      </w:r>
      <w:r w:rsidR="004E1689" w:rsidRPr="00EF5AA0">
        <w:rPr>
          <w:rFonts w:ascii="Arial" w:eastAsia="Arial" w:hAnsi="Arial" w:cs="Arial"/>
          <w:b/>
          <w:sz w:val="22"/>
          <w:szCs w:val="22"/>
          <w:vertAlign w:val="superscript"/>
        </w:rPr>
        <w:t>th</w:t>
      </w:r>
      <w:r w:rsidRPr="00EF5AA0">
        <w:rPr>
          <w:rFonts w:ascii="Arial" w:eastAsia="Arial" w:hAnsi="Arial" w:cs="Arial"/>
          <w:b/>
          <w:sz w:val="22"/>
          <w:szCs w:val="22"/>
        </w:rPr>
        <w:t xml:space="preserve"> </w:t>
      </w:r>
      <w:r w:rsidR="008E5ED8">
        <w:rPr>
          <w:rFonts w:ascii="Arial" w:eastAsia="Arial" w:hAnsi="Arial" w:cs="Arial"/>
          <w:b/>
          <w:sz w:val="22"/>
          <w:szCs w:val="22"/>
        </w:rPr>
        <w:t>March</w:t>
      </w:r>
      <w:r w:rsidRPr="00EF5AA0">
        <w:rPr>
          <w:rFonts w:ascii="Arial" w:eastAsia="Arial" w:hAnsi="Arial" w:cs="Arial"/>
          <w:b/>
          <w:sz w:val="22"/>
          <w:szCs w:val="22"/>
        </w:rPr>
        <w:t xml:space="preserve"> 201</w:t>
      </w:r>
      <w:r w:rsidR="00CE4CED">
        <w:rPr>
          <w:rFonts w:ascii="Arial" w:eastAsia="Arial" w:hAnsi="Arial" w:cs="Arial"/>
          <w:b/>
          <w:sz w:val="22"/>
          <w:szCs w:val="22"/>
        </w:rPr>
        <w:t>8</w:t>
      </w:r>
    </w:p>
    <w:p w14:paraId="2EA32853" w14:textId="77777777" w:rsidR="00A814DC" w:rsidRPr="000644B7" w:rsidRDefault="00A814D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44EB13F" w14:textId="2C26877A" w:rsidR="00A814DC" w:rsidRPr="000644B7" w:rsidRDefault="003A7378">
      <w:pPr>
        <w:ind w:left="1440" w:hanging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Chair</w:t>
      </w:r>
      <w:r w:rsidR="00307A8F" w:rsidRPr="000644B7">
        <w:rPr>
          <w:rFonts w:ascii="Arial" w:eastAsia="Arial" w:hAnsi="Arial" w:cs="Arial"/>
          <w:sz w:val="22"/>
          <w:szCs w:val="22"/>
        </w:rPr>
        <w:t>: Shon Campbell, MIMU Manager.</w:t>
      </w:r>
    </w:p>
    <w:p w14:paraId="19F2A777" w14:textId="421CD140" w:rsidR="00A814DC" w:rsidRPr="000644B7" w:rsidRDefault="003A7378">
      <w:pPr>
        <w:jc w:val="both"/>
        <w:rPr>
          <w:rFonts w:ascii="Arial" w:eastAsia="Arial" w:hAnsi="Arial" w:cs="Arial"/>
          <w:sz w:val="22"/>
          <w:szCs w:val="22"/>
        </w:rPr>
      </w:pPr>
      <w:r w:rsidRPr="00855BC7">
        <w:rPr>
          <w:rFonts w:ascii="Arial" w:eastAsia="Arial" w:hAnsi="Arial" w:cs="Arial"/>
          <w:sz w:val="22"/>
          <w:szCs w:val="22"/>
        </w:rPr>
        <w:t>Participants</w:t>
      </w:r>
      <w:r w:rsidR="00307A8F" w:rsidRPr="00855BC7">
        <w:rPr>
          <w:rFonts w:ascii="Arial" w:eastAsia="Arial" w:hAnsi="Arial" w:cs="Arial"/>
          <w:sz w:val="22"/>
          <w:szCs w:val="22"/>
        </w:rPr>
        <w:t xml:space="preserve">: </w:t>
      </w:r>
      <w:r w:rsidR="00475764" w:rsidRPr="00855BC7">
        <w:rPr>
          <w:rFonts w:ascii="Arial" w:eastAsia="Arial" w:hAnsi="Arial" w:cs="Arial"/>
          <w:sz w:val="22"/>
          <w:szCs w:val="22"/>
        </w:rPr>
        <w:t xml:space="preserve">IOM, </w:t>
      </w:r>
      <w:r w:rsidR="00855BC7" w:rsidRPr="00855BC7">
        <w:rPr>
          <w:rFonts w:ascii="Arial" w:eastAsia="Arial" w:hAnsi="Arial" w:cs="Arial"/>
          <w:sz w:val="22"/>
          <w:szCs w:val="22"/>
        </w:rPr>
        <w:t xml:space="preserve">NRC, </w:t>
      </w:r>
      <w:r w:rsidR="00CE4CED" w:rsidRPr="00855BC7">
        <w:rPr>
          <w:rFonts w:ascii="Arial" w:eastAsia="Arial" w:hAnsi="Arial" w:cs="Arial"/>
          <w:sz w:val="22"/>
          <w:szCs w:val="22"/>
        </w:rPr>
        <w:t xml:space="preserve">WVI, </w:t>
      </w:r>
      <w:r w:rsidR="00855BC7" w:rsidRPr="00855BC7">
        <w:rPr>
          <w:rFonts w:ascii="Arial" w:eastAsia="Arial" w:hAnsi="Arial" w:cs="Arial"/>
          <w:sz w:val="22"/>
          <w:szCs w:val="22"/>
        </w:rPr>
        <w:t xml:space="preserve">UNHCR/MIAG, WASH cluster (UNICEF), UNICEF, OCHA, </w:t>
      </w:r>
      <w:proofErr w:type="spellStart"/>
      <w:r w:rsidR="00855BC7" w:rsidRPr="00855BC7">
        <w:rPr>
          <w:rFonts w:ascii="Arial" w:eastAsia="Arial" w:hAnsi="Arial" w:cs="Arial"/>
          <w:sz w:val="22"/>
          <w:szCs w:val="22"/>
        </w:rPr>
        <w:t>SfCG</w:t>
      </w:r>
      <w:proofErr w:type="spellEnd"/>
      <w:r w:rsidR="00855BC7" w:rsidRPr="00855BC7">
        <w:rPr>
          <w:rFonts w:ascii="Arial" w:eastAsia="Arial" w:hAnsi="Arial" w:cs="Arial"/>
          <w:sz w:val="22"/>
          <w:szCs w:val="22"/>
        </w:rPr>
        <w:t>, MIMU</w:t>
      </w:r>
      <w:r w:rsidRPr="00855BC7">
        <w:rPr>
          <w:rFonts w:ascii="Arial" w:eastAsia="Arial" w:hAnsi="Arial" w:cs="Arial"/>
          <w:sz w:val="22"/>
          <w:szCs w:val="22"/>
        </w:rPr>
        <w:t xml:space="preserve"> </w:t>
      </w:r>
    </w:p>
    <w:p w14:paraId="0D0F3116" w14:textId="77777777" w:rsidR="00A814DC" w:rsidRPr="000644B7" w:rsidRDefault="00A814DC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2"/>
        <w:tblW w:w="147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11703"/>
        <w:gridCol w:w="2520"/>
      </w:tblGrid>
      <w:tr w:rsidR="00A814DC" w:rsidRPr="000644B7" w14:paraId="48ADE68D" w14:textId="77777777">
        <w:tc>
          <w:tcPr>
            <w:tcW w:w="514" w:type="dxa"/>
            <w:shd w:val="clear" w:color="auto" w:fill="auto"/>
          </w:tcPr>
          <w:p w14:paraId="1ADADCF4" w14:textId="77777777" w:rsidR="00A814DC" w:rsidRPr="000644B7" w:rsidRDefault="00A814DC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595B4CD0" w14:textId="77777777" w:rsidR="00A814DC" w:rsidRPr="000644B7" w:rsidRDefault="00307A8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Issues discussed</w:t>
            </w:r>
          </w:p>
        </w:tc>
        <w:tc>
          <w:tcPr>
            <w:tcW w:w="2520" w:type="dxa"/>
            <w:shd w:val="clear" w:color="auto" w:fill="auto"/>
          </w:tcPr>
          <w:p w14:paraId="1E9EAF0A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Next steps</w:t>
            </w:r>
          </w:p>
        </w:tc>
      </w:tr>
      <w:tr w:rsidR="008E5ED8" w:rsidRPr="000644B7" w14:paraId="6D917B22" w14:textId="77777777">
        <w:trPr>
          <w:trHeight w:val="700"/>
        </w:trPr>
        <w:tc>
          <w:tcPr>
            <w:tcW w:w="514" w:type="dxa"/>
            <w:shd w:val="clear" w:color="auto" w:fill="auto"/>
          </w:tcPr>
          <w:p w14:paraId="2F58718B" w14:textId="77777777" w:rsidR="008E5ED8" w:rsidRPr="000644B7" w:rsidRDefault="008E5ED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1B5BFFE1" w14:textId="0C90F31A" w:rsidR="008E5ED8" w:rsidRPr="00FD2E72" w:rsidRDefault="008E5ED8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D2E72">
              <w:rPr>
                <w:rFonts w:ascii="Arial" w:eastAsia="Arial" w:hAnsi="Arial" w:cs="Arial"/>
                <w:b/>
                <w:sz w:val="22"/>
                <w:szCs w:val="22"/>
              </w:rPr>
              <w:t>INFORM Index – OCHA</w:t>
            </w:r>
          </w:p>
          <w:p w14:paraId="7F49A9A9" w14:textId="3FE73CC0" w:rsidR="00FD2E72" w:rsidRPr="00FD2E72" w:rsidRDefault="008E5ED8" w:rsidP="00FD2E72">
            <w:pPr>
              <w:pStyle w:val="Heading1"/>
              <w:spacing w:before="0" w:after="0"/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</w:pPr>
            <w:r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>The INFORM Index for Risk Management is a global</w:t>
            </w:r>
            <w:r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, open-source risk assessment for humanitarian crises and disasters designed to support decisions about prevention, preparedness and response. </w:t>
            </w:r>
            <w:r w:rsidR="00A0156A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>It is currently the only open index and main one in use and includes 191 countries. It was d</w:t>
            </w:r>
            <w:r w:rsidR="00A0156A"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eveloped to measure the risk of humanitarian crises and disasters ad to identify where the international community can support. The Index website includes available data, validated by a variety of locally-based partners, which can be used for different purposes.  </w:t>
            </w:r>
            <w:r w:rsidR="00FD2E72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The </w:t>
            </w:r>
            <w:r w:rsidR="00FD2E72"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tool is generally applied at country level and assesses government and community capacity to respond to emergencies. Myanmar </w:t>
            </w:r>
            <w:r w:rsidR="00405DE9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>has been</w:t>
            </w:r>
            <w:r w:rsidR="00FD2E72"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 selected by EU to develop a sub-national index at TS level in 2018. OCHA is hosting the initiative in Myanmar with INFORM consultants for several weeks to work on the model. This will include arranging a workshop to discuss and collate the data. </w:t>
            </w:r>
          </w:p>
          <w:p w14:paraId="0CE39C5F" w14:textId="69314C16" w:rsidR="00A0156A" w:rsidRPr="00FD2E72" w:rsidRDefault="00A0156A" w:rsidP="00A0156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1C163007" w14:textId="0B0F7BFD" w:rsidR="00FD2E72" w:rsidRPr="00FD2E72" w:rsidRDefault="00FD2E72" w:rsidP="00FD2E72">
            <w:pPr>
              <w:pStyle w:val="Heading1"/>
              <w:spacing w:before="0" w:after="0"/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</w:pPr>
            <w:r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>In terms of m</w:t>
            </w:r>
            <w:r w:rsidR="00A0156A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>ethodology</w:t>
            </w:r>
            <w:r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, </w:t>
            </w:r>
            <w:r w:rsidR="00A0156A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the </w:t>
            </w:r>
            <w:r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>INFORM</w:t>
            </w:r>
            <w:r w:rsidR="00A0156A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 index comprises a score from 0 to 10 (highest risk) calculated based on the scores for hazard/exposure, vulnerability </w:t>
            </w:r>
            <w:r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>and</w:t>
            </w:r>
            <w:r w:rsidR="00A0156A" w:rsidRPr="00FD2E72">
              <w:rPr>
                <w:rFonts w:ascii="Arial" w:hAnsi="Arial" w:cs="Arial"/>
                <w:b w:val="0"/>
                <w:bCs/>
                <w:color w:val="auto"/>
                <w:kern w:val="36"/>
                <w:sz w:val="22"/>
                <w:szCs w:val="22"/>
              </w:rPr>
              <w:t xml:space="preserve"> lack of coping capacity</w:t>
            </w:r>
            <w:r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. Data sources at the country level have included FAO, UNDP, WB, CRED </w:t>
            </w:r>
            <w:proofErr w:type="spellStart"/>
            <w:r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>etc</w:t>
            </w:r>
            <w:proofErr w:type="spellEnd"/>
            <w:r w:rsidRPr="00FD2E72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 however this is using global data which doesn’t always reflect the reality on the ground at lower levels.</w:t>
            </w:r>
            <w:r w:rsidR="00C60D95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 xml:space="preserve"> Also includes a Relia</w:t>
            </w:r>
            <w:bookmarkStart w:id="0" w:name="_GoBack"/>
            <w:bookmarkEnd w:id="0"/>
            <w:r w:rsidR="00C60D95">
              <w:rPr>
                <w:rFonts w:ascii="Arial" w:eastAsia="Arial" w:hAnsi="Arial" w:cs="Arial"/>
                <w:b w:val="0"/>
                <w:color w:val="auto"/>
                <w:sz w:val="22"/>
                <w:szCs w:val="22"/>
              </w:rPr>
              <w:t>bility index for each dataset used.</w:t>
            </w:r>
          </w:p>
          <w:p w14:paraId="12627F86" w14:textId="77777777" w:rsidR="00FD2E72" w:rsidRPr="00FD2E72" w:rsidRDefault="00FD2E72" w:rsidP="00FD2E7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630CFC" w14:textId="7B94ED26" w:rsidR="00A0156A" w:rsidRPr="00FD2E72" w:rsidRDefault="00A0156A" w:rsidP="00E81DF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D2E72">
              <w:rPr>
                <w:rFonts w:ascii="Arial" w:eastAsia="Arial" w:hAnsi="Arial" w:cs="Arial"/>
                <w:sz w:val="22"/>
                <w:szCs w:val="22"/>
              </w:rPr>
              <w:t>Myanmar scores with the highest risk in the Asia region, ranked 12</w:t>
            </w:r>
            <w:r w:rsidRPr="00FD2E7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th</w:t>
            </w:r>
            <w:r w:rsidRPr="00FD2E72">
              <w:rPr>
                <w:rFonts w:ascii="Arial" w:eastAsia="Arial" w:hAnsi="Arial" w:cs="Arial"/>
                <w:sz w:val="22"/>
                <w:szCs w:val="22"/>
              </w:rPr>
              <w:t xml:space="preserve"> in the world with a score of 6.4 with a hazard and exposure rating of 7.5, vulnerability of 5.5 and lack of coping capacity of </w:t>
            </w:r>
            <w:r w:rsidR="00FD2E72" w:rsidRPr="00FD2E72">
              <w:rPr>
                <w:rFonts w:ascii="Arial" w:eastAsia="Arial" w:hAnsi="Arial" w:cs="Arial"/>
                <w:sz w:val="22"/>
                <w:szCs w:val="22"/>
              </w:rPr>
              <w:t>6.4. the score remains high though it has increased slightly in the past year.</w:t>
            </w:r>
          </w:p>
          <w:p w14:paraId="02E44E4F" w14:textId="5BAE6FDD" w:rsidR="00A0156A" w:rsidRDefault="00A0156A" w:rsidP="00E81D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AB653A" w14:textId="4A8B93F2" w:rsidR="00FD2E72" w:rsidRDefault="00FD2E72" w:rsidP="00E81DF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process </w:t>
            </w:r>
            <w:r w:rsidR="00FF30A2">
              <w:rPr>
                <w:rFonts w:ascii="Arial" w:eastAsia="Arial" w:hAnsi="Arial" w:cs="Arial"/>
                <w:sz w:val="22"/>
                <w:szCs w:val="22"/>
              </w:rPr>
              <w:t xml:space="preserve">of developing the sub-national INFORM index in Myanmar </w:t>
            </w:r>
            <w:r>
              <w:rPr>
                <w:rFonts w:ascii="Arial" w:eastAsia="Arial" w:hAnsi="Arial" w:cs="Arial"/>
                <w:sz w:val="22"/>
                <w:szCs w:val="22"/>
              </w:rPr>
              <w:t>will involve the RC/HC, government, civil society, and seeks to include sex and age disaggregated data. Considers natural and human-made disasters.  Anticipating consultations in the coming weeks to gather available data</w:t>
            </w:r>
            <w:r w:rsidR="004939D3">
              <w:rPr>
                <w:rFonts w:ascii="Arial" w:eastAsia="Arial" w:hAnsi="Arial" w:cs="Arial"/>
                <w:sz w:val="22"/>
                <w:szCs w:val="22"/>
              </w:rPr>
              <w:t>, and an INFORM workshop to discuss how the data will be used in the Index</w:t>
            </w:r>
            <w:r w:rsidR="00C60D95">
              <w:rPr>
                <w:rFonts w:ascii="Arial" w:eastAsia="Arial" w:hAnsi="Arial" w:cs="Arial"/>
                <w:sz w:val="22"/>
                <w:szCs w:val="22"/>
              </w:rPr>
              <w:t>, after which the preliminary information can be shared with a wider group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r w:rsidR="004939D3">
              <w:rPr>
                <w:rFonts w:ascii="Arial" w:eastAsia="Arial" w:hAnsi="Arial" w:cs="Arial"/>
                <w:sz w:val="22"/>
                <w:szCs w:val="22"/>
              </w:rPr>
              <w:t xml:space="preserve">Olivier/OCHA is a facilitator in the process and will convene people together for the process and for the core group to facilitate collection of data.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More information can be found on </w:t>
            </w:r>
            <w:hyperlink r:id="rId7" w:history="1">
              <w:r w:rsidRPr="004906D7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www.Inform-index.org</w:t>
              </w:r>
            </w:hyperlink>
          </w:p>
          <w:p w14:paraId="73B8C9A5" w14:textId="60633094" w:rsidR="00FF30A2" w:rsidRDefault="00FF30A2" w:rsidP="00E81DF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285E39" w14:textId="08215C19" w:rsidR="00855BC7" w:rsidRDefault="005A5693" w:rsidP="00855BC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aim is for the </w:t>
            </w:r>
            <w:r w:rsidR="00FF30A2">
              <w:rPr>
                <w:rFonts w:ascii="Arial" w:eastAsia="Arial" w:hAnsi="Arial" w:cs="Arial"/>
                <w:sz w:val="22"/>
                <w:szCs w:val="22"/>
              </w:rPr>
              <w:t xml:space="preserve">RC/HC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FF30A2">
              <w:rPr>
                <w:rFonts w:ascii="Arial" w:eastAsia="Arial" w:hAnsi="Arial" w:cs="Arial"/>
                <w:sz w:val="22"/>
                <w:szCs w:val="22"/>
              </w:rPr>
              <w:t xml:space="preserve">“own” the dataset and be responsible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 its maintenance – final arrangements have </w:t>
            </w:r>
            <w:r w:rsidR="00FF30A2">
              <w:rPr>
                <w:rFonts w:ascii="Arial" w:eastAsia="Arial" w:hAnsi="Arial" w:cs="Arial"/>
                <w:sz w:val="22"/>
                <w:szCs w:val="22"/>
              </w:rPr>
              <w:t>yet to be defined and may be with government.</w:t>
            </w:r>
          </w:p>
          <w:p w14:paraId="6F08A860" w14:textId="15CB592A" w:rsidR="00FD2E72" w:rsidRPr="00FD2E72" w:rsidRDefault="00855BC7" w:rsidP="00855BC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FD2E7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3A3064A2" w14:textId="77777777" w:rsidR="008E5ED8" w:rsidRPr="000644B7" w:rsidRDefault="008E5E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D699E" w:rsidRPr="000644B7" w14:paraId="68895F12" w14:textId="77777777">
        <w:trPr>
          <w:trHeight w:val="700"/>
        </w:trPr>
        <w:tc>
          <w:tcPr>
            <w:tcW w:w="514" w:type="dxa"/>
            <w:shd w:val="clear" w:color="auto" w:fill="auto"/>
          </w:tcPr>
          <w:p w14:paraId="1A765670" w14:textId="77777777" w:rsidR="009D699E" w:rsidRPr="000644B7" w:rsidRDefault="009D699E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62BDAD66" w14:textId="7768036E" w:rsidR="009D699E" w:rsidRDefault="009D699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World Vision </w:t>
            </w:r>
            <w:r w:rsidR="00E81DF5">
              <w:rPr>
                <w:rFonts w:ascii="Arial" w:eastAsia="Arial" w:hAnsi="Arial" w:cs="Arial"/>
                <w:b/>
                <w:sz w:val="22"/>
                <w:szCs w:val="22"/>
              </w:rPr>
              <w:t>proposal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–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Pre-c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risis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nformation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anagement for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esponsive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ecision-making in </w:t>
            </w:r>
            <w:r w:rsidR="00855BC7"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mergencies </w:t>
            </w:r>
          </w:p>
          <w:p w14:paraId="7FEE2ABE" w14:textId="0548E188" w:rsidR="00855BC7" w:rsidRDefault="00855BC7" w:rsidP="00855BC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WVI is finalizing a </w:t>
            </w:r>
            <w:r w:rsidR="00E81DF5">
              <w:rPr>
                <w:rFonts w:ascii="Arial" w:eastAsia="Arial" w:hAnsi="Arial" w:cs="Arial"/>
                <w:sz w:val="22"/>
                <w:szCs w:val="22"/>
              </w:rPr>
              <w:t xml:space="preserve">proposal covering </w:t>
            </w:r>
            <w:r w:rsidR="009D699E" w:rsidRPr="009D699E">
              <w:rPr>
                <w:rFonts w:ascii="Arial" w:eastAsia="Arial" w:hAnsi="Arial" w:cs="Arial"/>
                <w:sz w:val="22"/>
                <w:szCs w:val="22"/>
              </w:rPr>
              <w:t xml:space="preserve">4 countries </w:t>
            </w:r>
            <w:r w:rsidR="00E81DF5">
              <w:rPr>
                <w:rFonts w:ascii="Arial" w:eastAsia="Arial" w:hAnsi="Arial" w:cs="Arial"/>
                <w:sz w:val="22"/>
                <w:szCs w:val="22"/>
              </w:rPr>
              <w:t>(C</w:t>
            </w:r>
            <w:r w:rsidR="009D699E" w:rsidRPr="009D699E">
              <w:rPr>
                <w:rFonts w:ascii="Arial" w:eastAsia="Arial" w:hAnsi="Arial" w:cs="Arial"/>
                <w:sz w:val="22"/>
                <w:szCs w:val="22"/>
              </w:rPr>
              <w:t>hina, Myanmar, Vietnam and Thailand</w:t>
            </w:r>
            <w:r w:rsidR="00E81DF5">
              <w:rPr>
                <w:rFonts w:ascii="Arial" w:eastAsia="Arial" w:hAnsi="Arial" w:cs="Arial"/>
                <w:sz w:val="22"/>
                <w:szCs w:val="22"/>
              </w:rPr>
              <w:t xml:space="preserve">) for </w:t>
            </w:r>
            <w:r w:rsidR="009D699E" w:rsidRPr="009D699E">
              <w:rPr>
                <w:rFonts w:ascii="Arial" w:eastAsia="Arial" w:hAnsi="Arial" w:cs="Arial"/>
                <w:sz w:val="22"/>
                <w:szCs w:val="22"/>
              </w:rPr>
              <w:t>24 months from June 2018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The project aims to support people affected by crisis through faster initiated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t>humanitarian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response by being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better prepared in information management.  To this end it will focus on strengthening institutional links, advocacy, and capacity building in DRR and disaster preparedness.  A core part of the project will be contextualizing and rolling out the pre-crisis information management tools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t xml:space="preserve">(PCIM)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developed by WVI.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t xml:space="preserve">The project will select several locations across the 4 countries to pilot the PCIM tools with beneficiaries (i.e. people living in areas more exposed to risk, representatives of vulnerable groups, community members working with government and non-government agencies, community leaders).  It was suggested to have 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dedicated discussion with the IM Network members specifically involved in IM in emergencies to share more on the project and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t xml:space="preserve">PCIM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tools </w:t>
            </w:r>
            <w:proofErr w:type="gramStart"/>
            <w:r w:rsidR="004F3DFA">
              <w:rPr>
                <w:rFonts w:ascii="Arial" w:eastAsia="Arial" w:hAnsi="Arial" w:cs="Arial"/>
                <w:sz w:val="22"/>
                <w:szCs w:val="22"/>
              </w:rPr>
              <w:t xml:space="preserve">so as </w:t>
            </w:r>
            <w:r>
              <w:rPr>
                <w:rFonts w:ascii="Arial" w:eastAsia="Arial" w:hAnsi="Arial" w:cs="Arial"/>
                <w:sz w:val="22"/>
                <w:szCs w:val="22"/>
              </w:rPr>
              <w:t>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strengthen linkages and avoid duplication</w:t>
            </w:r>
          </w:p>
          <w:p w14:paraId="48DEBECF" w14:textId="44A4C389" w:rsidR="009D699E" w:rsidRPr="00E81DF5" w:rsidRDefault="00E81DF5" w:rsidP="00855BC7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22B97B74" w14:textId="77777777" w:rsidR="00855BC7" w:rsidRDefault="00855BC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4AE6EA" w14:textId="1067E24B" w:rsidR="00855BC7" w:rsidRPr="000644B7" w:rsidRDefault="00855BC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WVI to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t xml:space="preserve">share more information when </w:t>
            </w:r>
            <w:r w:rsidR="004F3DFA">
              <w:rPr>
                <w:rFonts w:ascii="Arial" w:eastAsia="Arial" w:hAnsi="Arial" w:cs="Arial"/>
                <w:sz w:val="22"/>
                <w:szCs w:val="22"/>
              </w:rPr>
              <w:lastRenderedPageBreak/>
              <w:t>available for MIMU to set up a small meeting.</w:t>
            </w:r>
          </w:p>
        </w:tc>
      </w:tr>
      <w:tr w:rsidR="009D699E" w:rsidRPr="000644B7" w14:paraId="4AA39AA1" w14:textId="77777777">
        <w:trPr>
          <w:trHeight w:val="700"/>
        </w:trPr>
        <w:tc>
          <w:tcPr>
            <w:tcW w:w="514" w:type="dxa"/>
            <w:shd w:val="clear" w:color="auto" w:fill="auto"/>
          </w:tcPr>
          <w:p w14:paraId="668C706A" w14:textId="77777777" w:rsidR="009D699E" w:rsidRPr="000644B7" w:rsidRDefault="009D699E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187BA7A7" w14:textId="2C37152C" w:rsidR="009D699E" w:rsidRDefault="009D699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National Coding Initiative </w:t>
            </w:r>
            <w:r w:rsidR="00C60D95">
              <w:rPr>
                <w:rFonts w:ascii="Arial" w:eastAsia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MIMU</w:t>
            </w:r>
          </w:p>
          <w:p w14:paraId="08B33BEA" w14:textId="0505D8D2" w:rsidR="00D15718" w:rsidRPr="00D15718" w:rsidRDefault="001B7B04" w:rsidP="00D1571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MIMU with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OneMap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Myanmar and ADPC is providing support to GAD in the development of a National Coding System, aiming to determine unique reference location codes for administrative levels down to village level across Myanmar. Then purposes of this system are to a</w:t>
            </w:r>
            <w:r w:rsidR="00D15718" w:rsidRPr="00D15718"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>void confusion</w:t>
            </w:r>
            <w:r>
              <w:rPr>
                <w:rFonts w:ascii="Arial" w:eastAsia="Arial" w:hAnsi="Arial" w:cs="Arial"/>
                <w:bCs/>
                <w:sz w:val="22"/>
                <w:szCs w:val="22"/>
                <w:lang w:val="en-GB"/>
              </w:rPr>
              <w:t xml:space="preserve"> where villages in different areas may have the same names, e</w:t>
            </w:r>
            <w:proofErr w:type="spellStart"/>
            <w:r w:rsidR="00D15718" w:rsidRPr="00D15718">
              <w:rPr>
                <w:rFonts w:ascii="Arial" w:eastAsia="Arial" w:hAnsi="Arial" w:cs="Arial"/>
                <w:bCs/>
                <w:sz w:val="22"/>
                <w:szCs w:val="22"/>
              </w:rPr>
              <w:t>nable</w:t>
            </w:r>
            <w:proofErr w:type="spellEnd"/>
            <w:r w:rsidR="00D15718" w:rsidRPr="00D15718">
              <w:rPr>
                <w:rFonts w:ascii="Arial" w:eastAsia="Arial" w:hAnsi="Arial" w:cs="Arial"/>
                <w:bCs/>
                <w:sz w:val="22"/>
                <w:szCs w:val="22"/>
              </w:rPr>
              <w:t xml:space="preserve"> exchange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>, aggregation and combination of data from different sources,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to enable mapping, and ultimately to facilitate more detailed </w:t>
            </w:r>
            <w:r w:rsidR="00D15718" w:rsidRPr="00D15718">
              <w:rPr>
                <w:rFonts w:ascii="Arial" w:eastAsia="Arial" w:hAnsi="Arial" w:cs="Arial"/>
                <w:bCs/>
                <w:sz w:val="22"/>
                <w:szCs w:val="22"/>
              </w:rPr>
              <w:t>inputs to evidence-based policy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.  Currently there are various systems in place at government level but none of them are comprehensive and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D15718">
              <w:rPr>
                <w:rFonts w:ascii="Arial" w:eastAsia="Arial" w:hAnsi="Arial" w:cs="Arial"/>
                <w:sz w:val="22"/>
                <w:szCs w:val="22"/>
              </w:rPr>
              <w:t>o agreed or commonly used system</w:t>
            </w:r>
            <w:r>
              <w:rPr>
                <w:rFonts w:ascii="Arial" w:eastAsia="Arial" w:hAnsi="Arial" w:cs="Arial"/>
                <w:sz w:val="22"/>
                <w:szCs w:val="22"/>
              </w:rPr>
              <w:t>.  The MIMU Place Code structure is the most comprehensive geocoded system which also includes transliteration of place names to English.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  <w:p w14:paraId="33584EFB" w14:textId="77777777" w:rsidR="001B7B04" w:rsidRDefault="001B7B04" w:rsidP="00D1571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F31F83" w14:textId="0889EA8A" w:rsidR="00795283" w:rsidRDefault="001B7B04" w:rsidP="001B7B04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Steps so far have included a r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 xml:space="preserve">eview of coding structures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 use across the various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>ministries</w:t>
            </w:r>
            <w:r>
              <w:rPr>
                <w:rFonts w:ascii="Arial" w:eastAsia="Arial" w:hAnsi="Arial" w:cs="Arial"/>
                <w:sz w:val="22"/>
                <w:szCs w:val="22"/>
              </w:rPr>
              <w:t>, c</w:t>
            </w:r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 xml:space="preserve">apacity building of GAD 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principles of </w:t>
            </w:r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>coding structures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and a meeting in December of key government departments suggested by GAD to clarify the coding system outline (i.e. </w:t>
            </w:r>
            <w:proofErr w:type="spellStart"/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>DoP</w:t>
            </w:r>
            <w:proofErr w:type="spellEnd"/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>, CSO, GAD, Forestry, DLMS, DRD, Survey)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MIMU and OMM are preparing the Access database which will, at GAD request, start from the 2015 GAD Gazette and include changes made since that time. </w:t>
            </w:r>
            <w:r w:rsidR="00D504D4">
              <w:rPr>
                <w:rFonts w:ascii="Arial" w:eastAsia="Arial" w:hAnsi="Arial" w:cs="Arial"/>
                <w:sz w:val="22"/>
                <w:szCs w:val="22"/>
              </w:rPr>
              <w:t xml:space="preserve">GAD staff will be trained to </w:t>
            </w:r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 xml:space="preserve">administer and maintain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system, and steps taken together with GAD to roll it out with </w:t>
            </w:r>
            <w:r w:rsidR="00F0515B" w:rsidRPr="00D15718">
              <w:rPr>
                <w:rFonts w:ascii="Arial" w:eastAsia="Arial" w:hAnsi="Arial" w:cs="Arial"/>
                <w:sz w:val="22"/>
                <w:szCs w:val="22"/>
              </w:rPr>
              <w:t>other ministries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3287DC1" w14:textId="6CC7A822" w:rsidR="001B7B04" w:rsidRDefault="001B7B04" w:rsidP="001B7B04">
            <w:pPr>
              <w:tabs>
                <w:tab w:val="num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781C9A" w14:textId="1ADEF0D2" w:rsidR="00D15718" w:rsidRPr="00D15718" w:rsidRDefault="00D504D4" w:rsidP="00D1571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 xml:space="preserve">National Coding System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comprises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>independent cod</w:t>
            </w:r>
            <w:r>
              <w:rPr>
                <w:rFonts w:ascii="Arial" w:eastAsia="Arial" w:hAnsi="Arial" w:cs="Arial"/>
                <w:sz w:val="22"/>
                <w:szCs w:val="22"/>
              </w:rPr>
              <w:t>es across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 xml:space="preserve"> 7 admin levels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each starting with a prefix (GA1 for state/regions for example), followed by a 6-digit consecutive code. The system includes tracking of </w:t>
            </w:r>
            <w:r w:rsidRPr="00D15718">
              <w:rPr>
                <w:rFonts w:ascii="Arial" w:eastAsia="Arial" w:hAnsi="Arial" w:cs="Arial"/>
                <w:sz w:val="22"/>
                <w:szCs w:val="22"/>
              </w:rPr>
              <w:t>historical changes</w:t>
            </w:r>
            <w:r>
              <w:rPr>
                <w:rFonts w:ascii="Arial" w:eastAsia="Arial" w:hAnsi="Arial" w:cs="Arial"/>
                <w:sz w:val="22"/>
                <w:szCs w:val="22"/>
              </w:rPr>
              <w:t>. Particular challenges include the a</w:t>
            </w:r>
            <w:r w:rsidRPr="00D15718">
              <w:rPr>
                <w:rFonts w:ascii="Arial" w:eastAsia="Arial" w:hAnsi="Arial" w:cs="Arial"/>
                <w:sz w:val="22"/>
                <w:szCs w:val="22"/>
              </w:rPr>
              <w:t>vailability of GPS coordinates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alternate names (not included in the GAD plan but in the MIMU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Pcodes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), harmonizing information for areas with different administrative structures such 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Kokang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>Self-Administered zones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 xml:space="preserve">TS differences +183 VTs in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the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 xml:space="preserve">MIMU list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which are </w:t>
            </w:r>
            <w:r w:rsidR="00D15718" w:rsidRPr="00D15718">
              <w:rPr>
                <w:rFonts w:ascii="Arial" w:eastAsia="Arial" w:hAnsi="Arial" w:cs="Arial"/>
                <w:sz w:val="22"/>
                <w:szCs w:val="22"/>
              </w:rPr>
              <w:t>not in GAD listings</w:t>
            </w:r>
            <w:r>
              <w:rPr>
                <w:rFonts w:ascii="Arial" w:eastAsia="Arial" w:hAnsi="Arial" w:cs="Arial"/>
                <w:sz w:val="22"/>
                <w:szCs w:val="22"/>
              </w:rPr>
              <w:t>), villages not currently recognized in the Gad system (over 2800 villages listed in MIMU and not in GAD), and ensuring a robust system of transliteration that can manage the various languages of Myanmar.</w:t>
            </w:r>
          </w:p>
          <w:p w14:paraId="34C18CA4" w14:textId="14FF12A9" w:rsidR="00C60D95" w:rsidRPr="00C60D95" w:rsidRDefault="00C60D95" w:rsidP="00D504D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03D4C45" w14:textId="77777777" w:rsidR="009D699E" w:rsidRPr="000644B7" w:rsidRDefault="009D699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5ED8" w:rsidRPr="000644B7" w14:paraId="66B39AF6" w14:textId="77777777">
        <w:trPr>
          <w:trHeight w:val="700"/>
        </w:trPr>
        <w:tc>
          <w:tcPr>
            <w:tcW w:w="514" w:type="dxa"/>
            <w:shd w:val="clear" w:color="auto" w:fill="auto"/>
          </w:tcPr>
          <w:p w14:paraId="14362BF9" w14:textId="77777777" w:rsidR="008E5ED8" w:rsidRPr="000644B7" w:rsidRDefault="008E5ED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57BA6F44" w14:textId="77777777" w:rsidR="00D504D4" w:rsidRDefault="00D504D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 in Rakhine</w:t>
            </w:r>
          </w:p>
          <w:p w14:paraId="4FC61CC8" w14:textId="5FDDEE6C" w:rsidR="008E5ED8" w:rsidRPr="00D504D4" w:rsidRDefault="00D504D4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meeting included a short discussion on specific IM tools developed in recent months in Rakhine, namely the access tracking systems developed by OCHA/IRI and by UNHCR/MIAG. Involved agencies will meet to discuss the details of the va</w:t>
            </w:r>
            <w:r w:rsidR="00C011C1">
              <w:rPr>
                <w:rFonts w:ascii="Arial" w:eastAsia="Arial" w:hAnsi="Arial" w:cs="Arial"/>
                <w:sz w:val="22"/>
                <w:szCs w:val="22"/>
              </w:rPr>
              <w:t xml:space="preserve">rious tools that have been used.  The need for various types of information </w:t>
            </w:r>
            <w:proofErr w:type="gramStart"/>
            <w:r w:rsidR="00C011C1">
              <w:rPr>
                <w:rFonts w:ascii="Arial" w:eastAsia="Arial" w:hAnsi="Arial" w:cs="Arial"/>
                <w:sz w:val="22"/>
                <w:szCs w:val="22"/>
              </w:rPr>
              <w:t>on the whole</w:t>
            </w:r>
            <w:proofErr w:type="gramEnd"/>
            <w:r w:rsidR="00C011C1">
              <w:rPr>
                <w:rFonts w:ascii="Arial" w:eastAsia="Arial" w:hAnsi="Arial" w:cs="Arial"/>
                <w:sz w:val="22"/>
                <w:szCs w:val="22"/>
              </w:rPr>
              <w:t xml:space="preserve"> of Rakhine so as to better support the implementation of the Rakhine Advisory Commission recommendations was also noted.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D41A8D9" w14:textId="41E02A5E" w:rsidR="008E5ED8" w:rsidRPr="008E5ED8" w:rsidRDefault="008E5ED8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AF79247" w14:textId="77777777" w:rsidR="008E5ED8" w:rsidRPr="000644B7" w:rsidRDefault="008E5E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5ED8" w:rsidRPr="000644B7" w14:paraId="3FF93660" w14:textId="77777777">
        <w:trPr>
          <w:trHeight w:val="700"/>
        </w:trPr>
        <w:tc>
          <w:tcPr>
            <w:tcW w:w="514" w:type="dxa"/>
            <w:shd w:val="clear" w:color="auto" w:fill="auto"/>
          </w:tcPr>
          <w:p w14:paraId="36378045" w14:textId="77777777" w:rsidR="008E5ED8" w:rsidRPr="000644B7" w:rsidRDefault="008E5ED8" w:rsidP="008E5ED8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703" w:type="dxa"/>
            <w:shd w:val="clear" w:color="auto" w:fill="auto"/>
          </w:tcPr>
          <w:p w14:paraId="5292914F" w14:textId="77777777" w:rsidR="008E5ED8" w:rsidRPr="00C011C1" w:rsidRDefault="008E5ED8" w:rsidP="008E5ED8">
            <w:pPr>
              <w:jc w:val="both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Cluster/Sector/agency updates</w:t>
            </w:r>
          </w:p>
          <w:p w14:paraId="5BDD554B" w14:textId="77777777" w:rsidR="008E5ED8" w:rsidRPr="00C011C1" w:rsidRDefault="008E5ED8" w:rsidP="008E5ED8">
            <w:pPr>
              <w:jc w:val="both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  <w:p w14:paraId="4D207C34" w14:textId="33673B43" w:rsidR="006F3F07" w:rsidRPr="00C011C1" w:rsidRDefault="008E5ED8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OCHA</w:t>
            </w:r>
            <w:r w:rsidR="006F3F07"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F3F0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–</w:t>
            </w:r>
            <w:r w:rsidR="006F3F07"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F3F0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completed</w:t>
            </w:r>
            <w:r w:rsidR="006F3F07"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F3F0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IDP maps for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Kachin </w:t>
            </w:r>
            <w:r w:rsidR="006F3F0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and Shan, and snapshot for 2018</w:t>
            </w:r>
          </w:p>
          <w:p w14:paraId="4143033F" w14:textId="77777777" w:rsidR="006F3F07" w:rsidRPr="00C011C1" w:rsidRDefault="006F3F07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2F3539F5" w14:textId="43498EA8" w:rsidR="006F3F07" w:rsidRPr="00C011C1" w:rsidRDefault="006F3F07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IOM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– providing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Emergency Response Training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in Maungdaw, DRR training,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emergency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response toolkit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in Mau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ngdaw and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Sittwe</w:t>
            </w:r>
            <w:proofErr w:type="spellEnd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Focus is RRD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/DDM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(TS and VT levels) and school level.</w:t>
            </w:r>
          </w:p>
          <w:p w14:paraId="482A660D" w14:textId="20C5A25E" w:rsidR="004B4C6D" w:rsidRPr="00C011C1" w:rsidRDefault="004B4C6D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58F2C5CA" w14:textId="56E5F449" w:rsidR="004B4C6D" w:rsidRPr="00C011C1" w:rsidRDefault="004B4C6D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NRC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– implementing school competencies, shelter, WASH, information counselling and legal assistance, and livelihoods. Using KOBO for data collection for monitoring. Developing mobile applications to enable IDPs in the camps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to access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housing, land and property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information, and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mobile applications for better leaning programmes. Red Rose application 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is now in use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for distribution of cash transfers via e-voucher to NRC beneficiaries.</w:t>
            </w:r>
          </w:p>
          <w:p w14:paraId="38F484BF" w14:textId="5D08C7DB" w:rsidR="004B4C6D" w:rsidRPr="00C011C1" w:rsidRDefault="004B4C6D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100E5DB5" w14:textId="5434F85C" w:rsidR="004B4C6D" w:rsidRPr="00C011C1" w:rsidRDefault="005937CF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World Vision International </w:t>
            </w:r>
            <w:r w:rsidR="004B4C6D"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WVI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– implementing relief and rehabilitation in Kachin using Wave money f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or cash distributions. </w:t>
            </w:r>
            <w:proofErr w:type="gramStart"/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Also</w:t>
            </w:r>
            <w:proofErr w:type="gramEnd"/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short term relief project with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food distribution and nutrition projects in Maungdaw. Projects in 32 areas, extending to </w:t>
            </w:r>
            <w:proofErr w:type="spellStart"/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Tai</w:t>
            </w:r>
            <w:r w:rsidR="00C011C1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kkyi</w:t>
            </w:r>
            <w:proofErr w:type="spellEnd"/>
            <w:r w:rsidR="00C011C1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(Yangon) which include 4 sectors - 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health focus</w:t>
            </w:r>
            <w:r w:rsidR="00C011C1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ing</w:t>
            </w:r>
            <w:r w:rsidR="004B4C6D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on MCH and WASH, Child Protection, Education (NFE, ECCD), and livelihoods (vocational training, livestock…).  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 technical baseline was conducted in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Oct-Nov for 25 area programmes.</w:t>
            </w:r>
          </w:p>
          <w:p w14:paraId="077D7252" w14:textId="46F80304" w:rsidR="005937CF" w:rsidRPr="00C011C1" w:rsidRDefault="005937CF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33987E01" w14:textId="2F93B328" w:rsidR="005937CF" w:rsidRPr="00C011C1" w:rsidRDefault="005937CF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Search for Common Ground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– social cohesion training for media, government staff and celebrities as 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basis for development of movie episodes, followed by dialogue and evaluation. Designer workshop to initiate M&amp;E toolkits to support CSOs in measuring hate speech.  </w:t>
            </w:r>
          </w:p>
          <w:p w14:paraId="3E0EEADA" w14:textId="77777777" w:rsidR="006F3F07" w:rsidRPr="00C011C1" w:rsidRDefault="006F3F07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4EF57175" w14:textId="36D1950C" w:rsidR="005937CF" w:rsidRPr="00C011C1" w:rsidRDefault="008E5ED8" w:rsidP="008E5ED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UNHCR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–</w:t>
            </w:r>
            <w:r w:rsidR="005937CF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MIAG</w:t>
            </w:r>
            <w:r w:rsid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is 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tracking staff access to field sites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and conducting a s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imple 3W tracking at VT level to 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assess implementation. Results indicate that 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45% of VTs have one or more partners 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active, 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mostly food security partners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(this does not assess the level of activity possible in these areas)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.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Producing a h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umanitarian overview considering dif</w:t>
            </w:r>
            <w:r w:rsid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f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erent aspects of the situation, looking specifically at education, food security etc</w:t>
            </w:r>
            <w:r w:rsidR="00BD4A3B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 on Rakhine and N Shan which is now available on the </w:t>
            </w:r>
            <w:r w:rsidR="005937CF"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global shelter cluster website</w:t>
            </w:r>
            <w:r w:rsidR="00BD4A3B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>, as well as the Protection dashboard.</w:t>
            </w:r>
          </w:p>
          <w:p w14:paraId="3BFD0CC9" w14:textId="0C619682" w:rsidR="005937CF" w:rsidRPr="00C011C1" w:rsidRDefault="005937CF" w:rsidP="008E5ED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  <w:r w:rsidRPr="00C011C1"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  <w:t xml:space="preserve">Protection dashboard </w:t>
            </w:r>
          </w:p>
          <w:p w14:paraId="16D7B4F2" w14:textId="1B64895A" w:rsidR="00637E17" w:rsidRPr="00C011C1" w:rsidRDefault="00637E17" w:rsidP="008E5ED8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val="en-GB"/>
              </w:rPr>
            </w:pPr>
          </w:p>
          <w:p w14:paraId="0FB3411B" w14:textId="227C4160" w:rsidR="00637E17" w:rsidRPr="00C011C1" w:rsidRDefault="008E5ED8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UNICEF (WASH Cluster)</w:t>
            </w:r>
            <w:r w:rsidR="00BD4A3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BD4A3B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– completed the WASH</w:t>
            </w:r>
            <w:r w:rsidR="00BD4A3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4W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and now s</w:t>
            </w:r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tarting to work on emergency contingency stocks and staff capacity (done every 6 months)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to be </w:t>
            </w:r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completed at the end of April.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</w:t>
            </w:r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Strategic Operations Framework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is being updated for 2018-19 based on workshops conducted in Rakhine/</w:t>
            </w:r>
            <w:proofErr w:type="spellStart"/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Sittwe</w:t>
            </w:r>
            <w:proofErr w:type="spellEnd"/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and soon be conducted in Kachin/N Shan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.</w:t>
            </w:r>
            <w:r w:rsidR="00637E1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0FA925CF" w14:textId="7E8A7C55" w:rsidR="00637E17" w:rsidRPr="00C011C1" w:rsidRDefault="00637E17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  <w:u w:val="single"/>
              </w:rPr>
            </w:pPr>
          </w:p>
          <w:p w14:paraId="2D0BD2CF" w14:textId="1521F25D" w:rsidR="008E5ED8" w:rsidRPr="00C011C1" w:rsidRDefault="008E5ED8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MIMU</w:t>
            </w:r>
            <w:r w:rsidR="00910CA7"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BD4A3B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The</w:t>
            </w:r>
            <w:r w:rsidR="00BD4A3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MIMU 3W is 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currently underway with a deadline of 13 </w:t>
            </w:r>
            <w:r w:rsidR="00637E1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Marc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h for agency inputs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Based on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suggestions from the last IM Network meeting, the next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MIMU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Distance Excel training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course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will focus on participants from Shan state.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Roll out of the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MIMU 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Village Place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C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ollect tool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(a mobile-based application 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to clarify 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and gather 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the GPS coordinates of villages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, countrywide) began in southeastern Myanmar with the support of the UNHCR team, and will be extended to </w:t>
            </w:r>
            <w:r w:rsidR="00BD4A3B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TS with particular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ly</w:t>
            </w:r>
            <w:r w:rsidR="00BD4A3B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poor mapping as a priority</w:t>
            </w:r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For this, the MIMU team will seek agencies active in these areas which are interested to support this </w:t>
            </w:r>
            <w:proofErr w:type="gramStart"/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in the course of</w:t>
            </w:r>
            <w:proofErr w:type="gramEnd"/>
            <w:r w:rsid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their work and field visits.  </w:t>
            </w:r>
            <w:r w:rsidR="005A5693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Work has also started with some partners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in Kayah state</w:t>
            </w:r>
            <w:r w:rsidR="005A5693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to clarify the location over some 270 villages which currently do not have GPS coordinates in </w:t>
            </w:r>
            <w:r w:rsidR="005A5693">
              <w:rPr>
                <w:rFonts w:ascii="Arial" w:eastAsia="Arial" w:hAnsi="Arial" w:cs="Arial"/>
                <w:color w:val="auto"/>
                <w:sz w:val="22"/>
                <w:szCs w:val="22"/>
              </w:rPr>
              <w:lastRenderedPageBreak/>
              <w:t xml:space="preserve">the MIMU Place Codes.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 MIMU </w:t>
            </w:r>
            <w:r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Online </w:t>
            </w:r>
            <w:r w:rsidR="005A5693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Photo Archive </w:t>
            </w:r>
            <w:r w:rsidR="00910CA7" w:rsidRPr="00BD4A3B">
              <w:rPr>
                <w:rFonts w:ascii="Arial" w:eastAsia="Arial" w:hAnsi="Arial" w:cs="Arial"/>
                <w:color w:val="auto"/>
                <w:sz w:val="22"/>
                <w:szCs w:val="22"/>
              </w:rPr>
              <w:t>is expected to be released in late April. The MIMU</w:t>
            </w:r>
            <w:r w:rsidR="00910CA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-HARP Vulnerability Study is being finalized for release and will be shared with govt in a short presentation in NPT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</w:t>
            </w:r>
            <w:r w:rsidR="005A5693">
              <w:rPr>
                <w:rFonts w:ascii="Arial" w:eastAsia="Arial" w:hAnsi="Arial" w:cs="Arial"/>
                <w:color w:val="auto"/>
                <w:sz w:val="22"/>
                <w:szCs w:val="22"/>
              </w:rPr>
              <w:t>The township level dataset brought together for this purpose will also be shared.</w:t>
            </w:r>
          </w:p>
          <w:p w14:paraId="0A40B15C" w14:textId="77777777" w:rsidR="008E5ED8" w:rsidRPr="00C011C1" w:rsidRDefault="008E5ED8" w:rsidP="008E5ED8">
            <w:pPr>
              <w:jc w:val="both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EE0C52D" w14:textId="77777777" w:rsidR="008E5ED8" w:rsidRPr="000644B7" w:rsidRDefault="008E5ED8" w:rsidP="008E5E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E5ED8" w:rsidRPr="000644B7" w14:paraId="6EDEA3A8" w14:textId="77777777" w:rsidTr="005A5693">
        <w:tc>
          <w:tcPr>
            <w:tcW w:w="514" w:type="dxa"/>
            <w:tcBorders>
              <w:bottom w:val="single" w:sz="4" w:space="0" w:color="000000"/>
            </w:tcBorders>
            <w:shd w:val="clear" w:color="auto" w:fill="auto"/>
          </w:tcPr>
          <w:p w14:paraId="7F04EF6D" w14:textId="77777777" w:rsidR="008E5ED8" w:rsidRPr="00513F76" w:rsidRDefault="008E5ED8" w:rsidP="008E5ED8">
            <w:pPr>
              <w:jc w:val="both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703" w:type="dxa"/>
            <w:tcBorders>
              <w:bottom w:val="single" w:sz="4" w:space="0" w:color="000000"/>
            </w:tcBorders>
            <w:shd w:val="clear" w:color="auto" w:fill="auto"/>
          </w:tcPr>
          <w:p w14:paraId="7B622B6B" w14:textId="77777777" w:rsidR="008E5ED8" w:rsidRPr="00C011C1" w:rsidRDefault="008E5ED8" w:rsidP="008E5ED8">
            <w:pPr>
              <w:jc w:val="both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Next Meeting</w:t>
            </w:r>
          </w:p>
          <w:p w14:paraId="16076FB2" w14:textId="400747B9" w:rsidR="008E5ED8" w:rsidRPr="00C011C1" w:rsidRDefault="008E5ED8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bookmarkStart w:id="1" w:name="_Hlk508213703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The next meeting will be on April 4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, 2018 at 3:00 pm in the MIMU.</w:t>
            </w:r>
            <w:r w:rsidR="005A5693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910CA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Suggested 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Presentation by </w:t>
            </w:r>
            <w:r w:rsidR="00910CA7"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MRCS/IFRC on the chatbot being developed to gather information in emergencies</w:t>
            </w:r>
            <w:bookmarkEnd w:id="1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. </w:t>
            </w:r>
          </w:p>
          <w:p w14:paraId="339F28D2" w14:textId="61D07AE4" w:rsidR="008E5ED8" w:rsidRPr="00C011C1" w:rsidRDefault="008E5ED8" w:rsidP="008E5ED8">
            <w:pPr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  <w:shd w:val="clear" w:color="auto" w:fill="auto"/>
          </w:tcPr>
          <w:p w14:paraId="7BEDDA5A" w14:textId="77777777" w:rsidR="008E5ED8" w:rsidRPr="000644B7" w:rsidRDefault="008E5ED8" w:rsidP="008E5ED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tbl>
      <w:tblPr>
        <w:tblStyle w:val="1"/>
        <w:tblW w:w="14737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630"/>
        <w:gridCol w:w="2790"/>
        <w:gridCol w:w="4354"/>
        <w:gridCol w:w="1607"/>
        <w:gridCol w:w="5356"/>
      </w:tblGrid>
      <w:tr w:rsidR="00A814DC" w:rsidRPr="000644B7" w14:paraId="421A083D" w14:textId="77777777" w:rsidTr="00F724A0">
        <w:trPr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82681CF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84EA183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Participants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970B16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C91256E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Agency/ Organization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755D004" w14:textId="77777777" w:rsidR="00A814DC" w:rsidRPr="000644B7" w:rsidRDefault="00307A8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b/>
                <w:sz w:val="22"/>
                <w:szCs w:val="22"/>
              </w:rPr>
              <w:t>E-mail Address</w:t>
            </w:r>
          </w:p>
        </w:tc>
      </w:tr>
      <w:tr w:rsidR="004F3DFA" w:rsidRPr="000644B7" w14:paraId="2B51200D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0746" w14:textId="451C11A6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5C918" w14:textId="117B50AA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Moe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Thinzar</w:t>
            </w:r>
            <w:proofErr w:type="spellEnd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Hline</w:t>
            </w:r>
            <w:proofErr w:type="spellEnd"/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06E32" w14:textId="75885B38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National Information Management Officer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02AC9" w14:textId="2384FCFC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IOM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64AD1" w14:textId="6D13555D" w:rsidR="004F3DFA" w:rsidRPr="000644B7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mhline@iom.int;</w:t>
            </w:r>
          </w:p>
        </w:tc>
      </w:tr>
      <w:tr w:rsidR="004F3DFA" w:rsidRPr="000644B7" w14:paraId="2717BB90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8F1F" w14:textId="6D4511E9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879BE" w14:textId="31123065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Aung Thu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353ED" w14:textId="3B80F73C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GIS Advisor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78624" w14:textId="20F6E313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IOM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1BACA" w14:textId="5F0B9CB2" w:rsidR="004F3DFA" w:rsidRPr="000644B7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authu@iom.int;</w:t>
            </w:r>
          </w:p>
        </w:tc>
      </w:tr>
      <w:tr w:rsidR="004F3DFA" w:rsidRPr="000644B7" w14:paraId="44B93B50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BA0A" w14:textId="5688973C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CE6C1" w14:textId="5265DBFB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Austin Mueke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D3AC6" w14:textId="29467CA4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Monitoring Officer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4B4C3" w14:textId="0D50D58F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UNICEF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7A031" w14:textId="42AF9FF3" w:rsidR="004F3DFA" w:rsidRPr="000644B7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amueke@unicef.org;</w:t>
            </w:r>
          </w:p>
        </w:tc>
      </w:tr>
      <w:tr w:rsidR="004F3DFA" w:rsidRPr="000644B7" w14:paraId="1116A4BC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DC60" w14:textId="59650E2A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F4AF6" w14:textId="09948E59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Myo Min Soe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B6B0D" w14:textId="605EE2B5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IM Officer (WASH Cluster)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A798" w14:textId="5511C607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UNICEF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82BD7" w14:textId="14C8117D" w:rsidR="004F3DFA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mminsoe@unicef.org;</w:t>
            </w:r>
          </w:p>
        </w:tc>
      </w:tr>
      <w:tr w:rsidR="004F3DFA" w:rsidRPr="000644B7" w14:paraId="0E47FC01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69E8" w14:textId="7FB9889A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1DEB2" w14:textId="6A3E6F1C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Thet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Nwe</w:t>
            </w:r>
            <w:proofErr w:type="spellEnd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Aung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91E6A" w14:textId="57E2E18B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DME Manager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0BADA" w14:textId="74D6E832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WVI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CF7B6" w14:textId="2CC2229E" w:rsidR="004F3DFA" w:rsidRPr="000644B7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Thet_nwe_aung@wvi.org;</w:t>
            </w:r>
          </w:p>
        </w:tc>
      </w:tr>
      <w:tr w:rsidR="004F3DFA" w:rsidRPr="000644B7" w14:paraId="0F1680FC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162D" w14:textId="5E4B088C" w:rsidR="004F3DFA" w:rsidRDefault="009A369D" w:rsidP="00F724A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18ACD" w14:textId="7D1D0116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Yu Mar Nay Win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694C5" w14:textId="71EF46DD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CBC-DRR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6092F" w14:textId="020E3FA3" w:rsidR="004F3DFA" w:rsidRPr="00C011C1" w:rsidRDefault="004F3DFA" w:rsidP="00F724A0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WVI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1738" w14:textId="36A84AAB" w:rsidR="004F3DFA" w:rsidRPr="000644B7" w:rsidRDefault="004F3DFA" w:rsidP="00F724A0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Y</w:t>
            </w:r>
            <w:r w:rsidR="005F14E6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in</w:t>
            </w: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_mar_nay_win@wvi.org;</w:t>
            </w:r>
          </w:p>
        </w:tc>
      </w:tr>
      <w:tr w:rsidR="004F3DFA" w:rsidRPr="000644B7" w14:paraId="65825DDF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7900" w14:textId="217FA896" w:rsidR="004F3DFA" w:rsidRDefault="009A369D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A9A2A" w14:textId="02913C05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Pyae Sone Kyaw Win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91AB1" w14:textId="18B82E83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GIS Officer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1F128" w14:textId="6CDD0EE3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OCHA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8B35" w14:textId="77910D40" w:rsidR="004F3DFA" w:rsidRPr="000644B7" w:rsidRDefault="004F3DFA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kyawwin@un.org;</w:t>
            </w:r>
          </w:p>
        </w:tc>
      </w:tr>
      <w:tr w:rsidR="004F3DFA" w:rsidRPr="000644B7" w14:paraId="24818C2A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6F6E" w14:textId="695B432E" w:rsidR="004F3DFA" w:rsidRDefault="009A369D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BBF80" w14:textId="2B91FEEA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Olivier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Uzel</w:t>
            </w:r>
            <w:proofErr w:type="spellEnd"/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E8B1C" w14:textId="26E74934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IMO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B8385" w14:textId="05ACAC9B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OCHA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150B2" w14:textId="5A829D1C" w:rsidR="004F3DFA" w:rsidRPr="000644B7" w:rsidRDefault="004F3DFA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uzel@un.org;</w:t>
            </w:r>
          </w:p>
        </w:tc>
      </w:tr>
      <w:tr w:rsidR="004F3DFA" w:rsidRPr="000644B7" w14:paraId="362E7D49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3024" w14:textId="597D0037" w:rsidR="004F3DFA" w:rsidRDefault="009A369D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DAE78" w14:textId="2E2925FA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Pierre Peron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FFD1" w14:textId="0305E2C7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Public Information Officer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4E70A" w14:textId="5481C819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OCHA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05D0D" w14:textId="2AA63CE9" w:rsidR="004F3DFA" w:rsidRPr="000644B7" w:rsidRDefault="004F3DFA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peronp@un.org;</w:t>
            </w:r>
          </w:p>
        </w:tc>
      </w:tr>
      <w:tr w:rsidR="004F3DFA" w:rsidRPr="000644B7" w14:paraId="44DAFC98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C235" w14:textId="3B41C81D" w:rsidR="004F3DFA" w:rsidRDefault="009A369D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2E9D" w14:textId="720ECEDC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Megan Walden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F2230" w14:textId="22BCB8F2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IM Maungdaw Inter-</w:t>
            </w:r>
            <w:proofErr w:type="gram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agency</w:t>
            </w:r>
            <w:proofErr w:type="gramEnd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Group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6D84" w14:textId="5E7E36D4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UNHCR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9583C" w14:textId="6753A408" w:rsidR="004F3DFA" w:rsidRPr="005F14E6" w:rsidRDefault="004F3DFA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 w:rsidRPr="005F14E6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walden@unhcr.org;</w:t>
            </w:r>
          </w:p>
        </w:tc>
      </w:tr>
      <w:tr w:rsidR="004F3DFA" w:rsidRPr="000644B7" w14:paraId="0F7D2681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6341" w14:textId="3383B46E" w:rsidR="004F3DFA" w:rsidRDefault="009A369D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886F5" w14:textId="3E82BDC0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Khin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Zar</w:t>
            </w:r>
            <w:proofErr w:type="spellEnd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Hl</w:t>
            </w:r>
            <w:r w:rsidR="005F14E6">
              <w:rPr>
                <w:rFonts w:ascii="Arial" w:eastAsia="Arial" w:hAnsi="Arial" w:cs="Arial"/>
                <w:color w:val="auto"/>
                <w:sz w:val="22"/>
                <w:szCs w:val="22"/>
              </w:rPr>
              <w:t>a</w:t>
            </w: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ine</w:t>
            </w:r>
            <w:proofErr w:type="spellEnd"/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E56BE" w14:textId="571639D5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M&amp;E Coordinator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ACE2" w14:textId="47DA70B4" w:rsidR="004F3DFA" w:rsidRPr="00C011C1" w:rsidRDefault="004F3DFA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NRC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4F97" w14:textId="329BC521" w:rsidR="004F3DFA" w:rsidRPr="005F14E6" w:rsidRDefault="00447E05" w:rsidP="004F3DFA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hyperlink r:id="rId8" w:history="1">
              <w:r w:rsidR="005F14E6" w:rsidRPr="005F14E6">
                <w:rPr>
                  <w:rStyle w:val="Hyperlink"/>
                  <w:rFonts w:ascii="Arial" w:hAnsi="Arial" w:cs="Arial"/>
                  <w:color w:val="0000FF"/>
                  <w:sz w:val="22"/>
                  <w:szCs w:val="22"/>
                </w:rPr>
                <w:t>khin.hlaine@nrc.no</w:t>
              </w:r>
            </w:hyperlink>
            <w:r w:rsidR="005F14E6" w:rsidRPr="005F14E6">
              <w:rPr>
                <w:rFonts w:ascii="Arial" w:hAnsi="Arial" w:cs="Arial"/>
                <w:color w:val="0000FF"/>
                <w:sz w:val="22"/>
                <w:szCs w:val="22"/>
              </w:rPr>
              <w:t>;</w:t>
            </w:r>
          </w:p>
        </w:tc>
      </w:tr>
      <w:tr w:rsidR="00535F55" w:rsidRPr="000644B7" w14:paraId="5406E8D9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7DBB" w14:textId="170141EB" w:rsidR="00535F55" w:rsidRDefault="00535F55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84DB8" w14:textId="44E3B770" w:rsidR="00535F55" w:rsidRPr="00C011C1" w:rsidRDefault="00535F55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Soe Min Myint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A5D12" w14:textId="6E934EC6" w:rsidR="00535F55" w:rsidRPr="00C011C1" w:rsidRDefault="00535F55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SM&amp;E Coordinator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2B1E" w14:textId="792453FC" w:rsidR="00535F55" w:rsidRPr="00C011C1" w:rsidRDefault="00535F55" w:rsidP="004F3DFA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proofErr w:type="spellStart"/>
            <w:r w:rsidRPr="00C011C1">
              <w:rPr>
                <w:rFonts w:ascii="Arial" w:eastAsia="Arial" w:hAnsi="Arial" w:cs="Arial"/>
                <w:color w:val="auto"/>
                <w:sz w:val="22"/>
                <w:szCs w:val="22"/>
              </w:rPr>
              <w:t>SfCG</w:t>
            </w:r>
            <w:proofErr w:type="spell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004DA" w14:textId="526B2F2D" w:rsidR="00535F55" w:rsidRDefault="00535F55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soewinmyint@sfcg.org;</w:t>
            </w:r>
          </w:p>
        </w:tc>
      </w:tr>
      <w:tr w:rsidR="004F3DFA" w:rsidRPr="000644B7" w14:paraId="6507DBAC" w14:textId="77777777" w:rsidTr="00F724A0">
        <w:trPr>
          <w:trHeight w:val="3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7391" w14:textId="06D3BBD1" w:rsidR="004F3DFA" w:rsidRPr="000644B7" w:rsidRDefault="00535F55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F4DF4" w14:textId="369047E1" w:rsidR="004F3DFA" w:rsidRPr="000644B7" w:rsidRDefault="004F3DFA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sz w:val="22"/>
                <w:szCs w:val="22"/>
              </w:rPr>
              <w:t>Shon Campbell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6008" w14:textId="5822587E" w:rsidR="004F3DFA" w:rsidRPr="000644B7" w:rsidRDefault="004F3DFA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sz w:val="22"/>
                <w:szCs w:val="22"/>
              </w:rPr>
              <w:t>MIMU Manger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6FD4F" w14:textId="38A9C286" w:rsidR="004F3DFA" w:rsidRPr="000644B7" w:rsidRDefault="004F3DFA" w:rsidP="004F3DF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44B7">
              <w:rPr>
                <w:rFonts w:ascii="Arial" w:eastAsia="Arial" w:hAnsi="Arial" w:cs="Arial"/>
                <w:sz w:val="22"/>
                <w:szCs w:val="22"/>
              </w:rPr>
              <w:t>MIMU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707A" w14:textId="639865F8" w:rsidR="004F3DFA" w:rsidRPr="000644B7" w:rsidRDefault="00447E05" w:rsidP="004F3DFA">
            <w:pPr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  <w:hyperlink r:id="rId9">
              <w:r w:rsidR="004F3DFA" w:rsidRPr="000644B7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manager.mimu@undp.org</w:t>
              </w:r>
            </w:hyperlink>
            <w:r w:rsidR="004F3DFA" w:rsidRPr="000644B7"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  <w:t>;</w:t>
            </w:r>
          </w:p>
        </w:tc>
      </w:tr>
    </w:tbl>
    <w:p w14:paraId="113206F7" w14:textId="77777777" w:rsidR="00A814DC" w:rsidRDefault="00A814DC" w:rsidP="00F724A0">
      <w:pPr>
        <w:rPr>
          <w:rFonts w:ascii="Calibri" w:eastAsia="Calibri" w:hAnsi="Calibri" w:cs="Calibri"/>
        </w:rPr>
      </w:pPr>
    </w:p>
    <w:sectPr w:rsidR="00A814DC" w:rsidSect="002F1081">
      <w:footerReference w:type="default" r:id="rId10"/>
      <w:pgSz w:w="16838" w:h="11906" w:orient="landscape" w:code="9"/>
      <w:pgMar w:top="720" w:right="1440" w:bottom="900" w:left="1080" w:header="576" w:footer="2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F0C82" w14:textId="77777777" w:rsidR="00447E05" w:rsidRDefault="00447E05">
      <w:r>
        <w:separator/>
      </w:r>
    </w:p>
  </w:endnote>
  <w:endnote w:type="continuationSeparator" w:id="0">
    <w:p w14:paraId="2F31DBA5" w14:textId="77777777" w:rsidR="00447E05" w:rsidRDefault="0044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AA636" w14:textId="00D3EF19" w:rsidR="00961453" w:rsidRDefault="00961453">
    <w:pPr>
      <w:tabs>
        <w:tab w:val="center" w:pos="4320"/>
        <w:tab w:val="right" w:pos="8640"/>
      </w:tabs>
      <w:jc w:val="right"/>
    </w:pPr>
    <w:r>
      <w:t xml:space="preserve">IM Network meeting minutes, page </w:t>
    </w:r>
    <w:r>
      <w:fldChar w:fldCharType="begin"/>
    </w:r>
    <w:r>
      <w:instrText>PAGE</w:instrText>
    </w:r>
    <w:r>
      <w:fldChar w:fldCharType="separate"/>
    </w:r>
    <w:r w:rsidR="00757A0C">
      <w:rPr>
        <w:noProof/>
      </w:rPr>
      <w:t>4</w:t>
    </w:r>
    <w:r>
      <w:fldChar w:fldCharType="end"/>
    </w:r>
  </w:p>
  <w:p w14:paraId="23776838" w14:textId="77777777" w:rsidR="00961453" w:rsidRDefault="00961453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F455" w14:textId="77777777" w:rsidR="00447E05" w:rsidRDefault="00447E05">
      <w:r>
        <w:separator/>
      </w:r>
    </w:p>
  </w:footnote>
  <w:footnote w:type="continuationSeparator" w:id="0">
    <w:p w14:paraId="63AF1526" w14:textId="77777777" w:rsidR="00447E05" w:rsidRDefault="0044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0ECB"/>
    <w:multiLevelType w:val="hybridMultilevel"/>
    <w:tmpl w:val="37FACC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52DDB"/>
    <w:multiLevelType w:val="multilevel"/>
    <w:tmpl w:val="BB5E93BC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956"/>
    <w:multiLevelType w:val="multilevel"/>
    <w:tmpl w:val="791CC5CE"/>
    <w:lvl w:ilvl="0">
      <w:start w:val="8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17DE9"/>
    <w:multiLevelType w:val="hybridMultilevel"/>
    <w:tmpl w:val="5A70FC06"/>
    <w:lvl w:ilvl="0" w:tplc="F6187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0F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64B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E4C7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C6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841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2F4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EE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5B5F8C"/>
    <w:multiLevelType w:val="hybridMultilevel"/>
    <w:tmpl w:val="6EAC2586"/>
    <w:lvl w:ilvl="0" w:tplc="85AEE6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63298"/>
    <w:multiLevelType w:val="hybridMultilevel"/>
    <w:tmpl w:val="483A4E34"/>
    <w:lvl w:ilvl="0" w:tplc="AAF4C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47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C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6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2C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E5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A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6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A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806529"/>
    <w:multiLevelType w:val="hybridMultilevel"/>
    <w:tmpl w:val="1F72E498"/>
    <w:lvl w:ilvl="0" w:tplc="3A8A099C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C21A9"/>
    <w:multiLevelType w:val="hybridMultilevel"/>
    <w:tmpl w:val="EFC4CAF4"/>
    <w:lvl w:ilvl="0" w:tplc="7B2EE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68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F419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488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A98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F4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27A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CC8B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0F2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D405BD"/>
    <w:multiLevelType w:val="hybridMultilevel"/>
    <w:tmpl w:val="9F980ADE"/>
    <w:lvl w:ilvl="0" w:tplc="9D6E2B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DC"/>
    <w:rsid w:val="00000FAD"/>
    <w:rsid w:val="000020C3"/>
    <w:rsid w:val="00007FA9"/>
    <w:rsid w:val="00016C82"/>
    <w:rsid w:val="0002644E"/>
    <w:rsid w:val="0003215E"/>
    <w:rsid w:val="00054541"/>
    <w:rsid w:val="000644B7"/>
    <w:rsid w:val="00067AE5"/>
    <w:rsid w:val="000971C4"/>
    <w:rsid w:val="000B1698"/>
    <w:rsid w:val="000B2A27"/>
    <w:rsid w:val="000C1630"/>
    <w:rsid w:val="000D0434"/>
    <w:rsid w:val="000F5620"/>
    <w:rsid w:val="001258B3"/>
    <w:rsid w:val="00171686"/>
    <w:rsid w:val="00183D29"/>
    <w:rsid w:val="00187E86"/>
    <w:rsid w:val="001B7B04"/>
    <w:rsid w:val="001D2CE9"/>
    <w:rsid w:val="001D6A18"/>
    <w:rsid w:val="001E37A7"/>
    <w:rsid w:val="001F445F"/>
    <w:rsid w:val="00200822"/>
    <w:rsid w:val="00203718"/>
    <w:rsid w:val="002140D2"/>
    <w:rsid w:val="00223AE8"/>
    <w:rsid w:val="00231260"/>
    <w:rsid w:val="002328C7"/>
    <w:rsid w:val="0024339C"/>
    <w:rsid w:val="00272977"/>
    <w:rsid w:val="0027551C"/>
    <w:rsid w:val="00284DA1"/>
    <w:rsid w:val="002861B5"/>
    <w:rsid w:val="002A231C"/>
    <w:rsid w:val="002B6D09"/>
    <w:rsid w:val="002C2312"/>
    <w:rsid w:val="002D0348"/>
    <w:rsid w:val="002F1081"/>
    <w:rsid w:val="00304B3D"/>
    <w:rsid w:val="00307A8F"/>
    <w:rsid w:val="00320149"/>
    <w:rsid w:val="0032218C"/>
    <w:rsid w:val="00376601"/>
    <w:rsid w:val="00377724"/>
    <w:rsid w:val="00386BF5"/>
    <w:rsid w:val="00387FC5"/>
    <w:rsid w:val="003A3705"/>
    <w:rsid w:val="003A48A8"/>
    <w:rsid w:val="003A7378"/>
    <w:rsid w:val="003A739A"/>
    <w:rsid w:val="003D1EF3"/>
    <w:rsid w:val="003E2544"/>
    <w:rsid w:val="003E4244"/>
    <w:rsid w:val="00405DE9"/>
    <w:rsid w:val="00420966"/>
    <w:rsid w:val="004228A0"/>
    <w:rsid w:val="004245DD"/>
    <w:rsid w:val="00433E7D"/>
    <w:rsid w:val="00444FAE"/>
    <w:rsid w:val="00447E05"/>
    <w:rsid w:val="00463EAE"/>
    <w:rsid w:val="00473197"/>
    <w:rsid w:val="00475764"/>
    <w:rsid w:val="0049106E"/>
    <w:rsid w:val="00492FB2"/>
    <w:rsid w:val="004939D3"/>
    <w:rsid w:val="004A147B"/>
    <w:rsid w:val="004B4C6D"/>
    <w:rsid w:val="004B7085"/>
    <w:rsid w:val="004C39A4"/>
    <w:rsid w:val="004D7596"/>
    <w:rsid w:val="004E1689"/>
    <w:rsid w:val="004F38B8"/>
    <w:rsid w:val="004F3DFA"/>
    <w:rsid w:val="00511843"/>
    <w:rsid w:val="00513F76"/>
    <w:rsid w:val="00520DE4"/>
    <w:rsid w:val="005306CA"/>
    <w:rsid w:val="0053514A"/>
    <w:rsid w:val="00535F55"/>
    <w:rsid w:val="00541EA3"/>
    <w:rsid w:val="00556BB0"/>
    <w:rsid w:val="00562C24"/>
    <w:rsid w:val="005937CF"/>
    <w:rsid w:val="005A5693"/>
    <w:rsid w:val="005C38EE"/>
    <w:rsid w:val="005C5F01"/>
    <w:rsid w:val="005E42B6"/>
    <w:rsid w:val="005F14E6"/>
    <w:rsid w:val="005F3C6D"/>
    <w:rsid w:val="005F4F61"/>
    <w:rsid w:val="00610FA2"/>
    <w:rsid w:val="00616229"/>
    <w:rsid w:val="00620A43"/>
    <w:rsid w:val="0062622E"/>
    <w:rsid w:val="00637866"/>
    <w:rsid w:val="00637E17"/>
    <w:rsid w:val="00644DFF"/>
    <w:rsid w:val="006600A6"/>
    <w:rsid w:val="006611C0"/>
    <w:rsid w:val="006651AE"/>
    <w:rsid w:val="006909A5"/>
    <w:rsid w:val="006A7148"/>
    <w:rsid w:val="006C6F57"/>
    <w:rsid w:val="006D3983"/>
    <w:rsid w:val="006D4FC9"/>
    <w:rsid w:val="006E4545"/>
    <w:rsid w:val="006E7E7F"/>
    <w:rsid w:val="006F3F07"/>
    <w:rsid w:val="00705450"/>
    <w:rsid w:val="00710FE5"/>
    <w:rsid w:val="00724CDB"/>
    <w:rsid w:val="007322FE"/>
    <w:rsid w:val="00746046"/>
    <w:rsid w:val="007543A5"/>
    <w:rsid w:val="00756B9C"/>
    <w:rsid w:val="00757A0C"/>
    <w:rsid w:val="00765DB9"/>
    <w:rsid w:val="00795283"/>
    <w:rsid w:val="007A2CDC"/>
    <w:rsid w:val="007B4E13"/>
    <w:rsid w:val="007B61AB"/>
    <w:rsid w:val="007C0618"/>
    <w:rsid w:val="007C39E1"/>
    <w:rsid w:val="007F0A9A"/>
    <w:rsid w:val="007F44D7"/>
    <w:rsid w:val="008044BE"/>
    <w:rsid w:val="00855BC7"/>
    <w:rsid w:val="00857167"/>
    <w:rsid w:val="00857228"/>
    <w:rsid w:val="00870B6C"/>
    <w:rsid w:val="008833A8"/>
    <w:rsid w:val="008B56A9"/>
    <w:rsid w:val="008C0676"/>
    <w:rsid w:val="008C1973"/>
    <w:rsid w:val="008D14E8"/>
    <w:rsid w:val="008E3B9F"/>
    <w:rsid w:val="008E5ED8"/>
    <w:rsid w:val="008E708A"/>
    <w:rsid w:val="008F4CE2"/>
    <w:rsid w:val="00906037"/>
    <w:rsid w:val="0090634B"/>
    <w:rsid w:val="00910CA7"/>
    <w:rsid w:val="00911297"/>
    <w:rsid w:val="00916B93"/>
    <w:rsid w:val="009309EE"/>
    <w:rsid w:val="00935585"/>
    <w:rsid w:val="009409BE"/>
    <w:rsid w:val="009418F6"/>
    <w:rsid w:val="00947CDD"/>
    <w:rsid w:val="0096034D"/>
    <w:rsid w:val="00961453"/>
    <w:rsid w:val="00962DF0"/>
    <w:rsid w:val="0098536B"/>
    <w:rsid w:val="009A369D"/>
    <w:rsid w:val="009B5F5F"/>
    <w:rsid w:val="009C1099"/>
    <w:rsid w:val="009C4627"/>
    <w:rsid w:val="009D699E"/>
    <w:rsid w:val="009E4A8B"/>
    <w:rsid w:val="009F4F2C"/>
    <w:rsid w:val="009F7259"/>
    <w:rsid w:val="00A011F9"/>
    <w:rsid w:val="00A0156A"/>
    <w:rsid w:val="00A05918"/>
    <w:rsid w:val="00A31604"/>
    <w:rsid w:val="00A471C2"/>
    <w:rsid w:val="00A50D9C"/>
    <w:rsid w:val="00A63608"/>
    <w:rsid w:val="00A742BA"/>
    <w:rsid w:val="00A74634"/>
    <w:rsid w:val="00A814DC"/>
    <w:rsid w:val="00A916DC"/>
    <w:rsid w:val="00AA44F6"/>
    <w:rsid w:val="00AA632F"/>
    <w:rsid w:val="00AE30D9"/>
    <w:rsid w:val="00B14650"/>
    <w:rsid w:val="00B4300D"/>
    <w:rsid w:val="00B47CB7"/>
    <w:rsid w:val="00B51D94"/>
    <w:rsid w:val="00B605A1"/>
    <w:rsid w:val="00B61A96"/>
    <w:rsid w:val="00BA7871"/>
    <w:rsid w:val="00BB15B0"/>
    <w:rsid w:val="00BB42DA"/>
    <w:rsid w:val="00BD4A3B"/>
    <w:rsid w:val="00BD4A7A"/>
    <w:rsid w:val="00C00067"/>
    <w:rsid w:val="00C011C1"/>
    <w:rsid w:val="00C2179F"/>
    <w:rsid w:val="00C23A09"/>
    <w:rsid w:val="00C377ED"/>
    <w:rsid w:val="00C40EA3"/>
    <w:rsid w:val="00C44027"/>
    <w:rsid w:val="00C56827"/>
    <w:rsid w:val="00C60D95"/>
    <w:rsid w:val="00C708B3"/>
    <w:rsid w:val="00C80589"/>
    <w:rsid w:val="00C81D59"/>
    <w:rsid w:val="00CE4CED"/>
    <w:rsid w:val="00CF0C55"/>
    <w:rsid w:val="00CF4C12"/>
    <w:rsid w:val="00D15718"/>
    <w:rsid w:val="00D20234"/>
    <w:rsid w:val="00D2150A"/>
    <w:rsid w:val="00D26104"/>
    <w:rsid w:val="00D34DDC"/>
    <w:rsid w:val="00D47B7C"/>
    <w:rsid w:val="00D504D4"/>
    <w:rsid w:val="00D506F7"/>
    <w:rsid w:val="00D65CD0"/>
    <w:rsid w:val="00D91330"/>
    <w:rsid w:val="00D92964"/>
    <w:rsid w:val="00DA41A8"/>
    <w:rsid w:val="00DA527F"/>
    <w:rsid w:val="00DC73C9"/>
    <w:rsid w:val="00DD321E"/>
    <w:rsid w:val="00E17EDF"/>
    <w:rsid w:val="00E2333D"/>
    <w:rsid w:val="00E2752B"/>
    <w:rsid w:val="00E451AA"/>
    <w:rsid w:val="00E75888"/>
    <w:rsid w:val="00E7748F"/>
    <w:rsid w:val="00E778F6"/>
    <w:rsid w:val="00E80EDA"/>
    <w:rsid w:val="00E81DF5"/>
    <w:rsid w:val="00EA1F3A"/>
    <w:rsid w:val="00EA4DA1"/>
    <w:rsid w:val="00EA61B2"/>
    <w:rsid w:val="00EB059D"/>
    <w:rsid w:val="00EB2962"/>
    <w:rsid w:val="00EB784C"/>
    <w:rsid w:val="00EC6FF6"/>
    <w:rsid w:val="00EE4140"/>
    <w:rsid w:val="00EF46ED"/>
    <w:rsid w:val="00EF5AA0"/>
    <w:rsid w:val="00F0210A"/>
    <w:rsid w:val="00F0515B"/>
    <w:rsid w:val="00F07C8B"/>
    <w:rsid w:val="00F1593E"/>
    <w:rsid w:val="00F45FBA"/>
    <w:rsid w:val="00F60438"/>
    <w:rsid w:val="00F63642"/>
    <w:rsid w:val="00F724A0"/>
    <w:rsid w:val="00F7752F"/>
    <w:rsid w:val="00F92264"/>
    <w:rsid w:val="00FA41D1"/>
    <w:rsid w:val="00FB4EEF"/>
    <w:rsid w:val="00FB6B94"/>
    <w:rsid w:val="00FD2E72"/>
    <w:rsid w:val="00FE2A54"/>
    <w:rsid w:val="00FE4AC6"/>
    <w:rsid w:val="00FE7623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2927"/>
  <w15:docId w15:val="{1994CD4A-4C2F-4526-A2A1-A5EC5315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A41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1D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0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4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4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n.hlaine@nrc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m-index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nager.mimu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 Pa Pa Moe</dc:creator>
  <cp:keywords/>
  <dc:description/>
  <cp:lastModifiedBy>Shon</cp:lastModifiedBy>
  <cp:revision>4</cp:revision>
  <cp:lastPrinted>2018-03-06T05:05:00Z</cp:lastPrinted>
  <dcterms:created xsi:type="dcterms:W3CDTF">2018-03-06T05:05:00Z</dcterms:created>
  <dcterms:modified xsi:type="dcterms:W3CDTF">2018-03-16T10:42:00Z</dcterms:modified>
</cp:coreProperties>
</file>