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FB" w:rsidRDefault="00262BEB">
      <w:pPr>
        <w:pStyle w:val="Heading1"/>
      </w:pPr>
      <w:bookmarkStart w:id="0" w:name="_GoBack"/>
      <w:bookmarkEnd w:id="0"/>
      <w:r>
        <w:t>Meeting Minutes</w:t>
      </w:r>
    </w:p>
    <w:p w:rsidR="001868FB" w:rsidRDefault="00262BEB">
      <w:r>
        <w:t>ICT4D Working Group, March 31, 2015</w:t>
      </w:r>
    </w:p>
    <w:p w:rsidR="001868FB" w:rsidRDefault="00262BEB">
      <w:r>
        <w:t>Chair: Jade Lamb, Pact</w:t>
      </w:r>
    </w:p>
    <w:p w:rsidR="001868FB" w:rsidRDefault="00262BEB">
      <w:r>
        <w:t xml:space="preserve">Organizations Attending: UNESCO, </w:t>
      </w:r>
      <w:proofErr w:type="spellStart"/>
      <w:r>
        <w:t>WinRock</w:t>
      </w:r>
      <w:proofErr w:type="spellEnd"/>
      <w:r>
        <w:t xml:space="preserve">, MIMU, Cord Myanmar, OCHA, PU-AMI, </w:t>
      </w:r>
      <w:proofErr w:type="spellStart"/>
      <w:r>
        <w:t>Phandeeyar</w:t>
      </w:r>
      <w:proofErr w:type="spellEnd"/>
      <w:r>
        <w:t xml:space="preserve">, TSF, </w:t>
      </w:r>
      <w:proofErr w:type="spellStart"/>
      <w:r>
        <w:t>Ooredoo</w:t>
      </w:r>
      <w:proofErr w:type="spellEnd"/>
      <w:r>
        <w:t xml:space="preserve">, </w:t>
      </w:r>
      <w:proofErr w:type="spellStart"/>
      <w:r>
        <w:t>Dimagi</w:t>
      </w:r>
      <w:proofErr w:type="spellEnd"/>
      <w:r>
        <w:t>, Pact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7179"/>
        <w:gridCol w:w="2397"/>
      </w:tblGrid>
      <w:tr w:rsidR="001868FB">
        <w:tc>
          <w:tcPr>
            <w:tcW w:w="7757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r>
              <w:t>Activity</w:t>
            </w:r>
          </w:p>
        </w:tc>
        <w:tc>
          <w:tcPr>
            <w:tcW w:w="1818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r>
              <w:t>Follow up</w:t>
            </w:r>
          </w:p>
        </w:tc>
      </w:tr>
      <w:tr w:rsidR="001868FB">
        <w:tc>
          <w:tcPr>
            <w:tcW w:w="7757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Presentation by Charles (TSF/PU-AMI) on </w:t>
            </w:r>
            <w:r>
              <w:t>licensing options for open source code</w:t>
            </w:r>
          </w:p>
          <w:p w:rsidR="001868FB" w:rsidRDefault="00262BE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“Free” for this presentation will mean free as in freedom/free speech, not (just) price</w:t>
            </w:r>
          </w:p>
          <w:p w:rsidR="001868FB" w:rsidRDefault="00262BE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4 rights of open source:</w:t>
            </w:r>
          </w:p>
          <w:p w:rsidR="001868FB" w:rsidRDefault="00262BEB">
            <w:pPr>
              <w:pStyle w:val="ListParagraph"/>
              <w:numPr>
                <w:ilvl w:val="1"/>
                <w:numId w:val="2"/>
              </w:numPr>
              <w:spacing w:after="0" w:line="240" w:lineRule="auto"/>
            </w:pPr>
            <w:r>
              <w:t>Right to run the code for any purpose.  A common restriction of not-entirely-open source is allowing onl</w:t>
            </w:r>
            <w:r>
              <w:t>y non-commercial use.</w:t>
            </w:r>
          </w:p>
          <w:p w:rsidR="001868FB" w:rsidRDefault="00262BEB">
            <w:pPr>
              <w:pStyle w:val="ListParagraph"/>
              <w:numPr>
                <w:ilvl w:val="1"/>
                <w:numId w:val="2"/>
              </w:numPr>
              <w:spacing w:after="0" w:line="240" w:lineRule="auto"/>
            </w:pPr>
            <w:r>
              <w:t>Right to study—you’re able to see the code</w:t>
            </w:r>
          </w:p>
          <w:p w:rsidR="001868FB" w:rsidRDefault="00262BEB">
            <w:pPr>
              <w:pStyle w:val="ListParagraph"/>
              <w:numPr>
                <w:ilvl w:val="1"/>
                <w:numId w:val="2"/>
              </w:numPr>
              <w:spacing w:after="0" w:line="240" w:lineRule="auto"/>
            </w:pPr>
            <w:r>
              <w:t>Right to redistribute—you can give it to anyone</w:t>
            </w:r>
          </w:p>
          <w:p w:rsidR="001868FB" w:rsidRDefault="00262BEB">
            <w:pPr>
              <w:pStyle w:val="ListParagraph"/>
              <w:numPr>
                <w:ilvl w:val="1"/>
                <w:numId w:val="2"/>
              </w:numPr>
              <w:spacing w:after="0" w:line="240" w:lineRule="auto"/>
            </w:pPr>
            <w:r>
              <w:t>Right to modify the code</w:t>
            </w:r>
          </w:p>
          <w:p w:rsidR="001868FB" w:rsidRDefault="00262BE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Other benefit is that it is free (as in price), but it takes time to train/learn/adapt, so the license costs of </w:t>
            </w:r>
            <w:r>
              <w:t>software are usually a minor consideration and a small fraction of the real costs.  However, this makes it easy to try open source products.</w:t>
            </w:r>
          </w:p>
          <w:p w:rsidR="001868FB" w:rsidRDefault="00262BE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The right to study also allows access to the file format, which enables to user to see how data are stored.</w:t>
            </w:r>
          </w:p>
          <w:p w:rsidR="001868FB" w:rsidRDefault="00262BE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The rig</w:t>
            </w:r>
            <w:r>
              <w:t>ht to study also improves transparency.</w:t>
            </w:r>
          </w:p>
          <w:p w:rsidR="001868FB" w:rsidRDefault="00262BE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Ship=publish code publicly</w:t>
            </w:r>
          </w:p>
          <w:p w:rsidR="001868FB" w:rsidRDefault="00262BE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Community around code is the most compelling reason to ship code.  Community contributes through improving code, documenting code, and reporting bugs.</w:t>
            </w:r>
          </w:p>
          <w:p w:rsidR="001868FB" w:rsidRDefault="00262BE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Licensing: </w:t>
            </w:r>
          </w:p>
          <w:p w:rsidR="001868FB" w:rsidRDefault="00262BEB">
            <w:pPr>
              <w:pStyle w:val="ListParagraph"/>
              <w:numPr>
                <w:ilvl w:val="1"/>
                <w:numId w:val="2"/>
              </w:numPr>
              <w:spacing w:after="0" w:line="240" w:lineRule="auto"/>
            </w:pPr>
            <w:r>
              <w:t>BSD is used by DHIS2 and C</w:t>
            </w:r>
            <w:r>
              <w:t xml:space="preserve">ommCare.  Allows redistribution, allows compilation and redistribution, </w:t>
            </w:r>
            <w:proofErr w:type="gramStart"/>
            <w:r>
              <w:t>specifies</w:t>
            </w:r>
            <w:proofErr w:type="gramEnd"/>
            <w:r>
              <w:t xml:space="preserve"> non-endorsement and non-warranty.</w:t>
            </w:r>
          </w:p>
          <w:p w:rsidR="001868FB" w:rsidRDefault="00262BEB">
            <w:pPr>
              <w:pStyle w:val="ListParagraph"/>
              <w:numPr>
                <w:ilvl w:val="1"/>
                <w:numId w:val="2"/>
              </w:numPr>
              <w:spacing w:after="0" w:line="240" w:lineRule="auto"/>
            </w:pPr>
            <w:r>
              <w:t>GPLv2/GNU public license—used by QGIS, Linux.  License is long but clear.  Allows studying/modification of code, but requires that all modif</w:t>
            </w:r>
            <w:r>
              <w:t>ications be shipped, enforcing community.</w:t>
            </w:r>
          </w:p>
          <w:p w:rsidR="001868FB" w:rsidRDefault="00262BEB">
            <w:pPr>
              <w:pStyle w:val="ListParagraph"/>
              <w:numPr>
                <w:ilvl w:val="1"/>
                <w:numId w:val="2"/>
              </w:numPr>
              <w:spacing w:after="0" w:line="240" w:lineRule="auto"/>
            </w:pPr>
            <w:r>
              <w:t xml:space="preserve">Creative Commons—used by Pact, Wikipedia.  For non-code content, i.e. sharing development methodologies.  Requires attribution of the content to the creator and share alike (if you modify the content, it must also </w:t>
            </w:r>
            <w:r>
              <w:t>be shared under a Creative Commons license)</w:t>
            </w:r>
          </w:p>
          <w:p w:rsidR="001868FB" w:rsidRDefault="00262BE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To ship code, all you need to do is state which license you’re using along with the content</w:t>
            </w:r>
          </w:p>
          <w:p w:rsidR="001868FB" w:rsidRDefault="00262BE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In some countries (i.e. France), if you don’t mention what license you’re using, your content is copyrighted by default;</w:t>
            </w:r>
            <w:r>
              <w:t xml:space="preserve"> </w:t>
            </w:r>
            <w:r>
              <w:lastRenderedPageBreak/>
              <w:t>however, this is not universal</w:t>
            </w:r>
          </w:p>
          <w:p w:rsidR="001868FB" w:rsidRDefault="00262BE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USG content is in the public domain by default</w:t>
            </w:r>
          </w:p>
          <w:p w:rsidR="001868FB" w:rsidRDefault="00262BE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proofErr w:type="spellStart"/>
            <w:r>
              <w:t>Github</w:t>
            </w:r>
            <w:proofErr w:type="spellEnd"/>
            <w:r>
              <w:t xml:space="preserve"> is a good forum for sharing any code you’ve created</w:t>
            </w:r>
          </w:p>
          <w:p w:rsidR="001868FB" w:rsidRDefault="00262BE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Strategies for getting people interacting with code: awareness raising and making the code useful</w:t>
            </w:r>
          </w:p>
          <w:p w:rsidR="001868FB" w:rsidRDefault="00262BE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Building a community</w:t>
            </w:r>
            <w:r>
              <w:t xml:space="preserve">: </w:t>
            </w:r>
            <w:hyperlink r:id="rId6">
              <w:r w:rsidRPr="00262BEB">
                <w:rPr>
                  <w:rStyle w:val="InternetLink"/>
                </w:rPr>
                <w:t>Cathedral</w:t>
              </w:r>
            </w:hyperlink>
            <w:r>
              <w:t xml:space="preserve"> approach (top down, small team of engineers, cohesive environment) versus Bazaar approach (everyone contributes a small bit)</w:t>
            </w:r>
            <w:r>
              <w:t xml:space="preserve">. See the </w:t>
            </w:r>
            <w:hyperlink r:id="rId7">
              <w:r>
                <w:rPr>
                  <w:rStyle w:val="InternetLink"/>
                </w:rPr>
                <w:t>essay</w:t>
              </w:r>
            </w:hyperlink>
            <w:r>
              <w:t xml:space="preserve"> from Eric S. Raymond.</w:t>
            </w:r>
          </w:p>
        </w:tc>
        <w:tc>
          <w:tcPr>
            <w:tcW w:w="1818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r>
              <w:rPr>
                <w:shd w:val="clear" w:color="auto" w:fill="FFFF00"/>
              </w:rPr>
              <w:lastRenderedPageBreak/>
              <w:t>Anyone who knows a lawyer who would give a good presentation on the legal environment around ICTs in Myanmar, please let Jade know</w:t>
            </w:r>
          </w:p>
        </w:tc>
      </w:tr>
      <w:tr w:rsidR="001868FB">
        <w:tc>
          <w:tcPr>
            <w:tcW w:w="7757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lastRenderedPageBreak/>
              <w:t>Virtual Machines</w:t>
            </w:r>
          </w:p>
          <w:p w:rsidR="001868FB" w:rsidRDefault="00262BE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Operating Systems mediate between hardware and applications.  Usually you run one OS </w:t>
            </w:r>
            <w:r>
              <w:t xml:space="preserve">at a time </w:t>
            </w:r>
            <w:r>
              <w:t xml:space="preserve">per machine.  Virtualizations enable you to run </w:t>
            </w:r>
            <w:r>
              <w:t xml:space="preserve">another OS </w:t>
            </w:r>
            <w:r>
              <w:t xml:space="preserve">as an application of a main OS (running </w:t>
            </w:r>
            <w:proofErr w:type="spellStart"/>
            <w:r>
              <w:t>WindowsXP</w:t>
            </w:r>
            <w:proofErr w:type="spellEnd"/>
            <w:r>
              <w:t xml:space="preserve"> and Linux in paralle</w:t>
            </w:r>
            <w:r>
              <w:t>l within a Windows8 session for example)</w:t>
            </w:r>
            <w:r>
              <w:t>.</w:t>
            </w:r>
          </w:p>
          <w:p w:rsidR="001868FB" w:rsidRDefault="00262BE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Demo of </w:t>
            </w:r>
            <w:hyperlink r:id="rId8">
              <w:proofErr w:type="spellStart"/>
              <w:r>
                <w:rPr>
                  <w:rStyle w:val="InternetLink"/>
                </w:rPr>
                <w:t>VirtualBox</w:t>
              </w:r>
              <w:proofErr w:type="spellEnd"/>
            </w:hyperlink>
          </w:p>
          <w:p w:rsidR="001868FB" w:rsidRDefault="00262BE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Possible uses include </w:t>
            </w:r>
            <w:hyperlink r:id="rId9">
              <w:r w:rsidRPr="00262BEB">
                <w:rPr>
                  <w:rStyle w:val="InternetLink"/>
                </w:rPr>
                <w:t>running Android on your PC</w:t>
              </w:r>
            </w:hyperlink>
            <w:r>
              <w:t xml:space="preserve"> to make demos of mobile apps easier, having a local version of CommCare (or similar) instead of communicating through the server to avoid slow internet speeds</w:t>
            </w:r>
          </w:p>
        </w:tc>
        <w:tc>
          <w:tcPr>
            <w:tcW w:w="1818" w:type="dxa"/>
            <w:shd w:val="clear" w:color="auto" w:fill="auto"/>
            <w:tcMar>
              <w:left w:w="108" w:type="dxa"/>
            </w:tcMar>
          </w:tcPr>
          <w:p w:rsidR="001868FB" w:rsidRDefault="001868FB">
            <w:pPr>
              <w:spacing w:after="0" w:line="240" w:lineRule="auto"/>
            </w:pPr>
          </w:p>
        </w:tc>
      </w:tr>
      <w:tr w:rsidR="001868FB">
        <w:tc>
          <w:tcPr>
            <w:tcW w:w="7757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Upcoming Events and Announcements</w:t>
            </w:r>
          </w:p>
          <w:p w:rsidR="001868FB" w:rsidRDefault="00262BE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Richard Stallman, Founder of the Free Software Foundation, a</w:t>
            </w:r>
            <w:r>
              <w:t xml:space="preserve">t </w:t>
            </w:r>
            <w:proofErr w:type="spellStart"/>
            <w:r>
              <w:t>Phandeeyar</w:t>
            </w:r>
            <w:proofErr w:type="spellEnd"/>
            <w:r>
              <w:t>/Mac Tower April 2, Thursday, 6 pm on the importance of a free digital society</w:t>
            </w:r>
          </w:p>
          <w:p w:rsidR="001868FB" w:rsidRDefault="00262BE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proofErr w:type="spellStart"/>
            <w:r>
              <w:t>Phandeeyar</w:t>
            </w:r>
            <w:proofErr w:type="spellEnd"/>
            <w:r>
              <w:t xml:space="preserve"> event on ICTs in development postponed until after </w:t>
            </w:r>
            <w:proofErr w:type="spellStart"/>
            <w:r>
              <w:t>Thingyan</w:t>
            </w:r>
            <w:proofErr w:type="spellEnd"/>
            <w:r>
              <w:t>.  Sarah will communicate more on this when dates are fixed.  Could possibly do some of the dis</w:t>
            </w:r>
            <w:r>
              <w:t>cussions through the ICT4D working group if the event is further delayed.</w:t>
            </w:r>
          </w:p>
          <w:p w:rsidR="001868FB" w:rsidRDefault="00262BE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CommCare lunch, for people who want to learn more about CommCare or what other organizations in Yangon are using CommCare for.  April 2, Thursday at 12 pm.  Please RSVP to </w:t>
            </w:r>
            <w:proofErr w:type="spellStart"/>
            <w:r>
              <w:t>Saijai</w:t>
            </w:r>
            <w:proofErr w:type="spellEnd"/>
            <w:r>
              <w:t xml:space="preserve"> (</w:t>
            </w:r>
            <w:hyperlink r:id="rId10">
              <w:r>
                <w:rPr>
                  <w:rStyle w:val="InternetLink"/>
                </w:rPr>
                <w:t>sliangpu@dimagi.com</w:t>
              </w:r>
            </w:hyperlink>
            <w:r>
              <w:t>) for more information</w:t>
            </w:r>
          </w:p>
          <w:p w:rsidR="001868FB" w:rsidRDefault="00262BE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UNESCO is working on developing an app for English language/life skills learning—interested in connections with organizations who have been developing something similar a</w:t>
            </w:r>
            <w:r>
              <w:t>nd can share experiences</w:t>
            </w:r>
          </w:p>
          <w:p w:rsidR="001868FB" w:rsidRDefault="00262BE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Next ICT4D WG meeting: April 29, 10 AM.  Tentatively Knut Staring from University of Oslo to speak about DHIS2 and how the Ministry of Health will be using it, and Neal </w:t>
            </w:r>
            <w:proofErr w:type="spellStart"/>
            <w:r>
              <w:t>Lesh</w:t>
            </w:r>
            <w:proofErr w:type="spellEnd"/>
            <w:r>
              <w:t xml:space="preserve"> from </w:t>
            </w:r>
            <w:proofErr w:type="spellStart"/>
            <w:r>
              <w:t>Dimagi</w:t>
            </w:r>
            <w:proofErr w:type="spellEnd"/>
            <w:r>
              <w:t xml:space="preserve"> to talk about linkages between </w:t>
            </w:r>
            <w:proofErr w:type="spellStart"/>
            <w:r>
              <w:t>Dimagi</w:t>
            </w:r>
            <w:proofErr w:type="spellEnd"/>
            <w:r>
              <w:t xml:space="preserve"> and DHI</w:t>
            </w:r>
            <w:r>
              <w:t>S2.</w:t>
            </w:r>
          </w:p>
        </w:tc>
        <w:tc>
          <w:tcPr>
            <w:tcW w:w="1818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r>
              <w:t>Anyone with experience on education app development, please contact Antony (</w:t>
            </w:r>
            <w:hyperlink r:id="rId11">
              <w:r>
                <w:rPr>
                  <w:rStyle w:val="InternetLink"/>
                </w:rPr>
                <w:t>kh.tam@unesco.org</w:t>
              </w:r>
            </w:hyperlink>
            <w:r>
              <w:t xml:space="preserve">); Jade to send </w:t>
            </w:r>
            <w:proofErr w:type="spellStart"/>
            <w:r>
              <w:t>mhealth</w:t>
            </w:r>
            <w:proofErr w:type="spellEnd"/>
            <w:r>
              <w:t xml:space="preserve"> app contact info</w:t>
            </w:r>
          </w:p>
          <w:p w:rsidR="001868FB" w:rsidRDefault="001868FB">
            <w:pPr>
              <w:spacing w:after="0" w:line="240" w:lineRule="auto"/>
            </w:pPr>
          </w:p>
          <w:p w:rsidR="001868FB" w:rsidRDefault="00262BEB">
            <w:pPr>
              <w:spacing w:after="0" w:line="240" w:lineRule="auto"/>
            </w:pPr>
            <w:r>
              <w:t>Future ideas for WG presentations or discussions, please contact Jade</w:t>
            </w:r>
          </w:p>
        </w:tc>
      </w:tr>
    </w:tbl>
    <w:p w:rsidR="001868FB" w:rsidRDefault="001868FB"/>
    <w:p w:rsidR="001868FB" w:rsidRDefault="00262BEB">
      <w:r>
        <w:t>Attendance</w:t>
      </w:r>
    </w:p>
    <w:tbl>
      <w:tblPr>
        <w:tblStyle w:val="TableGrid"/>
        <w:tblW w:w="9683" w:type="dxa"/>
        <w:tblLook w:val="04A0" w:firstRow="1" w:lastRow="0" w:firstColumn="1" w:lastColumn="0" w:noHBand="0" w:noVBand="1"/>
      </w:tblPr>
      <w:tblGrid>
        <w:gridCol w:w="568"/>
        <w:gridCol w:w="2600"/>
        <w:gridCol w:w="1980"/>
        <w:gridCol w:w="4535"/>
      </w:tblGrid>
      <w:tr w:rsidR="001868FB">
        <w:trPr>
          <w:trHeight w:val="265"/>
        </w:trPr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r>
              <w:t>#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r>
              <w:t>Name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r>
              <w:t>Organization</w:t>
            </w:r>
          </w:p>
        </w:tc>
        <w:tc>
          <w:tcPr>
            <w:tcW w:w="4535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r>
              <w:t>Email</w:t>
            </w:r>
          </w:p>
        </w:tc>
      </w:tr>
      <w:tr w:rsidR="001868FB">
        <w:trPr>
          <w:trHeight w:val="249"/>
        </w:trPr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r>
              <w:t>1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r>
              <w:t>Antony Tam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r>
              <w:t>UNESCO</w:t>
            </w:r>
          </w:p>
        </w:tc>
        <w:tc>
          <w:tcPr>
            <w:tcW w:w="4535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r>
              <w:t>Kh.tam@unesco.org</w:t>
            </w:r>
          </w:p>
        </w:tc>
      </w:tr>
      <w:tr w:rsidR="001868FB">
        <w:trPr>
          <w:trHeight w:val="249"/>
        </w:trPr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r>
              <w:t>2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r>
              <w:t>Dr. Thant Zin Aung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proofErr w:type="spellStart"/>
            <w:r>
              <w:t>WinRock</w:t>
            </w:r>
            <w:proofErr w:type="spellEnd"/>
          </w:p>
        </w:tc>
        <w:tc>
          <w:tcPr>
            <w:tcW w:w="4535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r>
              <w:t>Thant.zin@winrock.org</w:t>
            </w:r>
          </w:p>
        </w:tc>
      </w:tr>
      <w:tr w:rsidR="001868FB">
        <w:trPr>
          <w:trHeight w:val="249"/>
        </w:trPr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r>
              <w:t>3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r>
              <w:t>Phyo Kyi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r>
              <w:t>MIMU</w:t>
            </w:r>
          </w:p>
        </w:tc>
        <w:tc>
          <w:tcPr>
            <w:tcW w:w="4535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r>
              <w:t>Phyo.kyi@undp.org</w:t>
            </w:r>
          </w:p>
        </w:tc>
      </w:tr>
      <w:tr w:rsidR="001868FB">
        <w:trPr>
          <w:trHeight w:val="249"/>
        </w:trPr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r>
              <w:t>4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r>
              <w:t>Nilar Khaing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r>
              <w:t>Cord Myanmar</w:t>
            </w:r>
          </w:p>
        </w:tc>
        <w:tc>
          <w:tcPr>
            <w:tcW w:w="4535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hyperlink r:id="rId12">
              <w:r>
                <w:rPr>
                  <w:rStyle w:val="InternetLink"/>
                </w:rPr>
                <w:t>Khaing717@gmail.com</w:t>
              </w:r>
            </w:hyperlink>
          </w:p>
        </w:tc>
      </w:tr>
      <w:tr w:rsidR="001868FB">
        <w:trPr>
          <w:trHeight w:val="249"/>
        </w:trPr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r>
              <w:t>5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r>
              <w:t xml:space="preserve">Moe </w:t>
            </w:r>
            <w:proofErr w:type="spellStart"/>
            <w:r>
              <w:t>Moe</w:t>
            </w:r>
            <w:proofErr w:type="spellEnd"/>
            <w:r>
              <w:t xml:space="preserve"> Su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r>
              <w:t>MIMU</w:t>
            </w:r>
          </w:p>
        </w:tc>
        <w:tc>
          <w:tcPr>
            <w:tcW w:w="4535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hyperlink r:id="rId13">
              <w:r>
                <w:rPr>
                  <w:rStyle w:val="InternetLink"/>
                </w:rPr>
                <w:t>mamoemoesu@gmail.com</w:t>
              </w:r>
            </w:hyperlink>
          </w:p>
        </w:tc>
      </w:tr>
      <w:tr w:rsidR="001868FB">
        <w:trPr>
          <w:trHeight w:val="249"/>
        </w:trPr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r>
              <w:lastRenderedPageBreak/>
              <w:t>6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r>
              <w:t>Luis Esteves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r>
              <w:t>OCHA</w:t>
            </w:r>
          </w:p>
        </w:tc>
        <w:tc>
          <w:tcPr>
            <w:tcW w:w="4535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r>
              <w:t>senaesteves@un.org</w:t>
            </w:r>
          </w:p>
        </w:tc>
      </w:tr>
      <w:tr w:rsidR="001868FB">
        <w:trPr>
          <w:trHeight w:val="249"/>
        </w:trPr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r>
              <w:t>7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r>
              <w:t>Soe Linn Htike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r>
              <w:t>PU-AMI</w:t>
            </w:r>
          </w:p>
        </w:tc>
        <w:tc>
          <w:tcPr>
            <w:tcW w:w="4535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hyperlink r:id="rId14">
              <w:r>
                <w:rPr>
                  <w:rStyle w:val="InternetLink"/>
                </w:rPr>
                <w:t>Mmr.mhealth.it@pu-ami.org</w:t>
              </w:r>
            </w:hyperlink>
          </w:p>
        </w:tc>
      </w:tr>
      <w:tr w:rsidR="001868FB">
        <w:trPr>
          <w:trHeight w:val="249"/>
        </w:trPr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r>
              <w:t>8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r>
              <w:t>Will Francis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r>
              <w:t>MIMU</w:t>
            </w:r>
          </w:p>
        </w:tc>
        <w:tc>
          <w:tcPr>
            <w:tcW w:w="4535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hyperlink r:id="rId15">
              <w:r>
                <w:rPr>
                  <w:rStyle w:val="InternetLink"/>
                </w:rPr>
                <w:t>William.francis@undp.org</w:t>
              </w:r>
            </w:hyperlink>
          </w:p>
        </w:tc>
      </w:tr>
      <w:tr w:rsidR="001868FB">
        <w:trPr>
          <w:trHeight w:val="249"/>
        </w:trPr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r>
              <w:t>9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r>
              <w:t>Sarah Oh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proofErr w:type="spellStart"/>
            <w:r>
              <w:t>Phandeeyar</w:t>
            </w:r>
            <w:proofErr w:type="spellEnd"/>
          </w:p>
        </w:tc>
        <w:tc>
          <w:tcPr>
            <w:tcW w:w="4535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hyperlink r:id="rId16">
              <w:r>
                <w:rPr>
                  <w:rStyle w:val="InternetLink"/>
                </w:rPr>
                <w:t>sarah@phandeeyar.org</w:t>
              </w:r>
            </w:hyperlink>
          </w:p>
        </w:tc>
      </w:tr>
      <w:tr w:rsidR="001868FB">
        <w:trPr>
          <w:trHeight w:val="249"/>
        </w:trPr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r>
              <w:t>10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r>
              <w:t>Charles Fleche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r>
              <w:t>PU-AMI/TSF</w:t>
            </w:r>
          </w:p>
        </w:tc>
        <w:tc>
          <w:tcPr>
            <w:tcW w:w="4535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hyperlink r:id="rId17">
              <w:r>
                <w:rPr>
                  <w:rStyle w:val="InternetLink"/>
                </w:rPr>
                <w:t>Mhealth-myanmar@tsfi.org</w:t>
              </w:r>
            </w:hyperlink>
          </w:p>
        </w:tc>
      </w:tr>
      <w:tr w:rsidR="001868FB">
        <w:trPr>
          <w:trHeight w:val="249"/>
        </w:trPr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r>
              <w:t>11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r>
              <w:t xml:space="preserve">Tanya </w:t>
            </w:r>
            <w:proofErr w:type="spellStart"/>
            <w:r>
              <w:t>Rabourn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proofErr w:type="spellStart"/>
            <w:r>
              <w:t>Ooredoo</w:t>
            </w:r>
            <w:proofErr w:type="spellEnd"/>
          </w:p>
        </w:tc>
        <w:tc>
          <w:tcPr>
            <w:tcW w:w="4535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r>
              <w:t>Tanya.rabourn@gmail.com</w:t>
            </w:r>
          </w:p>
        </w:tc>
      </w:tr>
      <w:tr w:rsidR="001868FB">
        <w:trPr>
          <w:trHeight w:val="249"/>
        </w:trPr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r>
              <w:t>12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proofErr w:type="spellStart"/>
            <w:r>
              <w:t>Saijai</w:t>
            </w:r>
            <w:proofErr w:type="spellEnd"/>
            <w:r>
              <w:t xml:space="preserve"> </w:t>
            </w:r>
            <w:proofErr w:type="spellStart"/>
            <w:r>
              <w:t>Liangpunsakul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proofErr w:type="spellStart"/>
            <w:r>
              <w:t>Dimagi</w:t>
            </w:r>
            <w:proofErr w:type="spellEnd"/>
          </w:p>
        </w:tc>
        <w:tc>
          <w:tcPr>
            <w:tcW w:w="4535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hyperlink r:id="rId18">
              <w:r>
                <w:rPr>
                  <w:rStyle w:val="InternetLink"/>
                </w:rPr>
                <w:t>sliangpu@dimagi.com</w:t>
              </w:r>
            </w:hyperlink>
          </w:p>
        </w:tc>
      </w:tr>
      <w:tr w:rsidR="001868FB">
        <w:trPr>
          <w:trHeight w:val="249"/>
        </w:trPr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r>
              <w:t>13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r>
              <w:t>Jade Lamb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r>
              <w:t>Pact</w:t>
            </w:r>
          </w:p>
        </w:tc>
        <w:tc>
          <w:tcPr>
            <w:tcW w:w="4535" w:type="dxa"/>
            <w:shd w:val="clear" w:color="auto" w:fill="auto"/>
            <w:tcMar>
              <w:left w:w="108" w:type="dxa"/>
            </w:tcMar>
          </w:tcPr>
          <w:p w:rsidR="001868FB" w:rsidRDefault="00262BEB">
            <w:pPr>
              <w:spacing w:after="0" w:line="240" w:lineRule="auto"/>
            </w:pPr>
            <w:r>
              <w:t>jlamb@pactworld.org</w:t>
            </w:r>
          </w:p>
        </w:tc>
      </w:tr>
    </w:tbl>
    <w:p w:rsidR="001868FB" w:rsidRDefault="001868FB"/>
    <w:sectPr w:rsidR="001868FB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E6AD8"/>
    <w:multiLevelType w:val="multilevel"/>
    <w:tmpl w:val="675EFE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ABC52D6"/>
    <w:multiLevelType w:val="multilevel"/>
    <w:tmpl w:val="29309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9333E"/>
    <w:multiLevelType w:val="multilevel"/>
    <w:tmpl w:val="1C60D7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FB"/>
    <w:rsid w:val="001868FB"/>
    <w:rsid w:val="0026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80C"/>
    <w:pPr>
      <w:suppressAutoHyphens/>
      <w:spacing w:after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668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0F3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8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1542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ragraphaccentChar">
    <w:name w:val="paragraph accent Char"/>
    <w:rsid w:val="00C6680C"/>
    <w:rPr>
      <w:rFonts w:ascii="Arial" w:eastAsia="Times New Roman" w:hAnsi="Arial" w:cs="Times New Roman"/>
      <w:i/>
      <w:sz w:val="24"/>
      <w:szCs w:val="24"/>
    </w:rPr>
  </w:style>
  <w:style w:type="character" w:customStyle="1" w:styleId="BulletstextCharChar">
    <w:name w:val="Bullets text Char Char"/>
    <w:link w:val="Bulletstext"/>
    <w:rsid w:val="00C6680C"/>
    <w:rPr>
      <w:rFonts w:ascii="Arial" w:eastAsia="Times New Roman" w:hAnsi="Arial"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680C"/>
    <w:rPr>
      <w:rFonts w:asciiTheme="majorHAnsi" w:eastAsiaTheme="majorEastAsia" w:hAnsiTheme="majorHAnsi" w:cstheme="majorBidi"/>
      <w:b/>
      <w:bCs/>
      <w:color w:val="5E0F3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680C"/>
    <w:rPr>
      <w:rFonts w:asciiTheme="majorHAnsi" w:eastAsiaTheme="majorEastAsia" w:hAnsiTheme="majorHAnsi" w:cstheme="majorBidi"/>
      <w:b/>
      <w:bCs/>
      <w:color w:val="7F1542" w:themeColor="accent1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C6680C"/>
    <w:rPr>
      <w:rFonts w:asciiTheme="majorHAnsi" w:eastAsiaTheme="majorEastAsia" w:hAnsiTheme="majorHAnsi" w:cstheme="majorBidi"/>
      <w:color w:val="59534B" w:themeColor="text2" w:themeShade="BF"/>
      <w:spacing w:val="5"/>
      <w:sz w:val="52"/>
      <w:szCs w:val="52"/>
    </w:rPr>
  </w:style>
  <w:style w:type="character" w:styleId="Strong">
    <w:name w:val="Strong"/>
    <w:basedOn w:val="DefaultParagraphFont"/>
    <w:uiPriority w:val="22"/>
    <w:qFormat/>
    <w:rsid w:val="00C6680C"/>
    <w:rPr>
      <w:b/>
      <w:bCs/>
    </w:rPr>
  </w:style>
  <w:style w:type="character" w:styleId="Emphasis">
    <w:name w:val="Emphasis"/>
    <w:basedOn w:val="DefaultParagraphFont"/>
    <w:uiPriority w:val="20"/>
    <w:qFormat/>
    <w:rsid w:val="00C6680C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6680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6680C"/>
    <w:rPr>
      <w:b/>
      <w:bCs/>
      <w:i/>
      <w:iCs/>
      <w:color w:val="7F1542" w:themeColor="accent1"/>
    </w:rPr>
  </w:style>
  <w:style w:type="character" w:customStyle="1" w:styleId="InternetLink">
    <w:name w:val="Internet Link"/>
    <w:basedOn w:val="DefaultParagraphFont"/>
    <w:uiPriority w:val="99"/>
    <w:unhideWhenUsed/>
    <w:rsid w:val="00EC0988"/>
    <w:rPr>
      <w:color w:val="005B82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FF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Georgia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paragraphaccent">
    <w:name w:val="paragraph accent"/>
    <w:basedOn w:val="Normal"/>
    <w:next w:val="Normal"/>
    <w:qFormat/>
    <w:rsid w:val="00C6680C"/>
    <w:pPr>
      <w:spacing w:before="240" w:after="240" w:line="360" w:lineRule="auto"/>
      <w:jc w:val="both"/>
    </w:pPr>
    <w:rPr>
      <w:rFonts w:ascii="Arial" w:eastAsia="Times New Roman" w:hAnsi="Arial" w:cs="Times New Roman"/>
      <w:i/>
      <w:sz w:val="24"/>
      <w:szCs w:val="24"/>
    </w:rPr>
  </w:style>
  <w:style w:type="paragraph" w:customStyle="1" w:styleId="Bulletstext">
    <w:name w:val="Bullets text"/>
    <w:basedOn w:val="Normal"/>
    <w:link w:val="BulletstextCharChar"/>
    <w:qFormat/>
    <w:rsid w:val="00C6680C"/>
    <w:pPr>
      <w:tabs>
        <w:tab w:val="left" w:pos="720"/>
      </w:tabs>
      <w:spacing w:before="240" w:after="240" w:line="360" w:lineRule="auto"/>
      <w:ind w:left="720" w:hanging="360"/>
      <w:jc w:val="both"/>
    </w:pPr>
    <w:rPr>
      <w:rFonts w:ascii="Arial" w:eastAsia="Times New Roman" w:hAnsi="Arial" w:cs="Arial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6680C"/>
    <w:pPr>
      <w:pBdr>
        <w:bottom w:val="single" w:sz="8" w:space="4" w:color="7F1542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534B" w:themeColor="text2" w:themeShade="BF"/>
      <w:spacing w:val="5"/>
      <w:sz w:val="52"/>
      <w:szCs w:val="52"/>
    </w:rPr>
  </w:style>
  <w:style w:type="paragraph" w:styleId="ListParagraph">
    <w:name w:val="List Paragraph"/>
    <w:basedOn w:val="Normal"/>
    <w:uiPriority w:val="34"/>
    <w:qFormat/>
    <w:rsid w:val="00C6680C"/>
    <w:pPr>
      <w:ind w:left="720"/>
      <w:contextualSpacing/>
    </w:pPr>
  </w:style>
  <w:style w:type="paragraph" w:customStyle="1" w:styleId="ContentsHeading">
    <w:name w:val="Contents Heading"/>
    <w:basedOn w:val="Heading1"/>
    <w:next w:val="Normal"/>
    <w:uiPriority w:val="39"/>
    <w:semiHidden/>
    <w:unhideWhenUsed/>
    <w:qFormat/>
    <w:rsid w:val="00C6680C"/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CF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098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80C"/>
    <w:pPr>
      <w:suppressAutoHyphens/>
      <w:spacing w:after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668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0F3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8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1542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ragraphaccentChar">
    <w:name w:val="paragraph accent Char"/>
    <w:rsid w:val="00C6680C"/>
    <w:rPr>
      <w:rFonts w:ascii="Arial" w:eastAsia="Times New Roman" w:hAnsi="Arial" w:cs="Times New Roman"/>
      <w:i/>
      <w:sz w:val="24"/>
      <w:szCs w:val="24"/>
    </w:rPr>
  </w:style>
  <w:style w:type="character" w:customStyle="1" w:styleId="BulletstextCharChar">
    <w:name w:val="Bullets text Char Char"/>
    <w:link w:val="Bulletstext"/>
    <w:rsid w:val="00C6680C"/>
    <w:rPr>
      <w:rFonts w:ascii="Arial" w:eastAsia="Times New Roman" w:hAnsi="Arial"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680C"/>
    <w:rPr>
      <w:rFonts w:asciiTheme="majorHAnsi" w:eastAsiaTheme="majorEastAsia" w:hAnsiTheme="majorHAnsi" w:cstheme="majorBidi"/>
      <w:b/>
      <w:bCs/>
      <w:color w:val="5E0F3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680C"/>
    <w:rPr>
      <w:rFonts w:asciiTheme="majorHAnsi" w:eastAsiaTheme="majorEastAsia" w:hAnsiTheme="majorHAnsi" w:cstheme="majorBidi"/>
      <w:b/>
      <w:bCs/>
      <w:color w:val="7F1542" w:themeColor="accent1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C6680C"/>
    <w:rPr>
      <w:rFonts w:asciiTheme="majorHAnsi" w:eastAsiaTheme="majorEastAsia" w:hAnsiTheme="majorHAnsi" w:cstheme="majorBidi"/>
      <w:color w:val="59534B" w:themeColor="text2" w:themeShade="BF"/>
      <w:spacing w:val="5"/>
      <w:sz w:val="52"/>
      <w:szCs w:val="52"/>
    </w:rPr>
  </w:style>
  <w:style w:type="character" w:styleId="Strong">
    <w:name w:val="Strong"/>
    <w:basedOn w:val="DefaultParagraphFont"/>
    <w:uiPriority w:val="22"/>
    <w:qFormat/>
    <w:rsid w:val="00C6680C"/>
    <w:rPr>
      <w:b/>
      <w:bCs/>
    </w:rPr>
  </w:style>
  <w:style w:type="character" w:styleId="Emphasis">
    <w:name w:val="Emphasis"/>
    <w:basedOn w:val="DefaultParagraphFont"/>
    <w:uiPriority w:val="20"/>
    <w:qFormat/>
    <w:rsid w:val="00C6680C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6680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6680C"/>
    <w:rPr>
      <w:b/>
      <w:bCs/>
      <w:i/>
      <w:iCs/>
      <w:color w:val="7F1542" w:themeColor="accent1"/>
    </w:rPr>
  </w:style>
  <w:style w:type="character" w:customStyle="1" w:styleId="InternetLink">
    <w:name w:val="Internet Link"/>
    <w:basedOn w:val="DefaultParagraphFont"/>
    <w:uiPriority w:val="99"/>
    <w:unhideWhenUsed/>
    <w:rsid w:val="00EC0988"/>
    <w:rPr>
      <w:color w:val="005B82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FF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Georgia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paragraphaccent">
    <w:name w:val="paragraph accent"/>
    <w:basedOn w:val="Normal"/>
    <w:next w:val="Normal"/>
    <w:qFormat/>
    <w:rsid w:val="00C6680C"/>
    <w:pPr>
      <w:spacing w:before="240" w:after="240" w:line="360" w:lineRule="auto"/>
      <w:jc w:val="both"/>
    </w:pPr>
    <w:rPr>
      <w:rFonts w:ascii="Arial" w:eastAsia="Times New Roman" w:hAnsi="Arial" w:cs="Times New Roman"/>
      <w:i/>
      <w:sz w:val="24"/>
      <w:szCs w:val="24"/>
    </w:rPr>
  </w:style>
  <w:style w:type="paragraph" w:customStyle="1" w:styleId="Bulletstext">
    <w:name w:val="Bullets text"/>
    <w:basedOn w:val="Normal"/>
    <w:link w:val="BulletstextCharChar"/>
    <w:qFormat/>
    <w:rsid w:val="00C6680C"/>
    <w:pPr>
      <w:tabs>
        <w:tab w:val="left" w:pos="720"/>
      </w:tabs>
      <w:spacing w:before="240" w:after="240" w:line="360" w:lineRule="auto"/>
      <w:ind w:left="720" w:hanging="360"/>
      <w:jc w:val="both"/>
    </w:pPr>
    <w:rPr>
      <w:rFonts w:ascii="Arial" w:eastAsia="Times New Roman" w:hAnsi="Arial" w:cs="Arial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6680C"/>
    <w:pPr>
      <w:pBdr>
        <w:bottom w:val="single" w:sz="8" w:space="4" w:color="7F1542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534B" w:themeColor="text2" w:themeShade="BF"/>
      <w:spacing w:val="5"/>
      <w:sz w:val="52"/>
      <w:szCs w:val="52"/>
    </w:rPr>
  </w:style>
  <w:style w:type="paragraph" w:styleId="ListParagraph">
    <w:name w:val="List Paragraph"/>
    <w:basedOn w:val="Normal"/>
    <w:uiPriority w:val="34"/>
    <w:qFormat/>
    <w:rsid w:val="00C6680C"/>
    <w:pPr>
      <w:ind w:left="720"/>
      <w:contextualSpacing/>
    </w:pPr>
  </w:style>
  <w:style w:type="paragraph" w:customStyle="1" w:styleId="ContentsHeading">
    <w:name w:val="Contents Heading"/>
    <w:basedOn w:val="Heading1"/>
    <w:next w:val="Normal"/>
    <w:uiPriority w:val="39"/>
    <w:semiHidden/>
    <w:unhideWhenUsed/>
    <w:qFormat/>
    <w:rsid w:val="00C6680C"/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CF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098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rtualbox.org/" TargetMode="External"/><Relationship Id="rId13" Type="http://schemas.openxmlformats.org/officeDocument/2006/relationships/hyperlink" Target="mailto:mamoemoesu@gmail.com" TargetMode="External"/><Relationship Id="rId18" Type="http://schemas.openxmlformats.org/officeDocument/2006/relationships/hyperlink" Target="mailto:sliangpu@dimagi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atb.org/~esr/writings/cathedral-bazaar/cathedral-bazaar/" TargetMode="External"/><Relationship Id="rId12" Type="http://schemas.openxmlformats.org/officeDocument/2006/relationships/hyperlink" Target="mailto:Khaing717@gmail.com" TargetMode="External"/><Relationship Id="rId17" Type="http://schemas.openxmlformats.org/officeDocument/2006/relationships/hyperlink" Target="mailto:Mhealth-myanmar@tsfi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sarah@phandeeyar.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The_Cathedral_and_the_Bazaar" TargetMode="External"/><Relationship Id="rId11" Type="http://schemas.openxmlformats.org/officeDocument/2006/relationships/hyperlink" Target="mailto:kh.tam@unesco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illiam.francis@undp.org" TargetMode="External"/><Relationship Id="rId10" Type="http://schemas.openxmlformats.org/officeDocument/2006/relationships/hyperlink" Target="mailto:sliangpu@dimagi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owtogeek.com/164570/how-to-install-android-in-virtualbox/" TargetMode="External"/><Relationship Id="rId14" Type="http://schemas.openxmlformats.org/officeDocument/2006/relationships/hyperlink" Target="mailto:Mmr.mhealth.it@pu-ami.org" TargetMode="External"/></Relationships>
</file>

<file path=word/theme/theme1.xml><?xml version="1.0" encoding="utf-8"?>
<a:theme xmlns:a="http://schemas.openxmlformats.org/drawingml/2006/main" name="Office Theme">
  <a:themeElements>
    <a:clrScheme name="Official Pact Colors">
      <a:dk1>
        <a:sysClr val="windowText" lastClr="000000"/>
      </a:dk1>
      <a:lt1>
        <a:sysClr val="window" lastClr="FFFFFF"/>
      </a:lt1>
      <a:dk2>
        <a:srgbClr val="776F65"/>
      </a:dk2>
      <a:lt2>
        <a:srgbClr val="DBD7D3"/>
      </a:lt2>
      <a:accent1>
        <a:srgbClr val="7F1542"/>
      </a:accent1>
      <a:accent2>
        <a:srgbClr val="02AED9"/>
      </a:accent2>
      <a:accent3>
        <a:srgbClr val="F09C30"/>
      </a:accent3>
      <a:accent4>
        <a:srgbClr val="A1B741"/>
      </a:accent4>
      <a:accent5>
        <a:srgbClr val="FFCA05"/>
      </a:accent5>
      <a:accent6>
        <a:srgbClr val="5A2A00"/>
      </a:accent6>
      <a:hlink>
        <a:srgbClr val="005B82"/>
      </a:hlink>
      <a:folHlink>
        <a:srgbClr val="005B82"/>
      </a:folHlink>
    </a:clrScheme>
    <a:fontScheme name="Official Pact Fonts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3</Pages>
  <Words>859</Words>
  <Characters>4897</Characters>
  <Application>Microsoft Office Word</Application>
  <DocSecurity>0</DocSecurity>
  <Lines>40</Lines>
  <Paragraphs>11</Paragraphs>
  <ScaleCrop>false</ScaleCrop>
  <Company>Microsoft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JLAMB</dc:creator>
  <cp:lastModifiedBy>JLAMB</cp:lastModifiedBy>
  <cp:revision>13</cp:revision>
  <dcterms:created xsi:type="dcterms:W3CDTF">2015-03-31T09:21:00Z</dcterms:created>
  <dcterms:modified xsi:type="dcterms:W3CDTF">2015-04-06T04:58:00Z</dcterms:modified>
  <dc:language>fr-FR</dc:language>
</cp:coreProperties>
</file>