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1E" w:rsidRDefault="005B4B94">
      <w:pPr>
        <w:pStyle w:val="Heading1"/>
      </w:pPr>
      <w:r>
        <w:t>Meeting Minutes</w:t>
      </w:r>
    </w:p>
    <w:p w:rsidR="008D3B1E" w:rsidRDefault="005B4B94">
      <w:r>
        <w:t>ICT4D Working Group, January 28, 2015</w:t>
      </w:r>
    </w:p>
    <w:p w:rsidR="008D3B1E" w:rsidRDefault="005B4B94">
      <w:r>
        <w:t>Chair: Jade Lamb, Pact</w:t>
      </w:r>
    </w:p>
    <w:p w:rsidR="008D3B1E" w:rsidRDefault="005B4B94">
      <w:r>
        <w:t>Organizations Attending: World Concern, Malaria Consortium, WFP, TSF/PU-AMI, MIMU, UNICEF, Pact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398"/>
        <w:gridCol w:w="2178"/>
      </w:tblGrid>
      <w:tr w:rsidR="008D3B1E">
        <w:tc>
          <w:tcPr>
            <w:tcW w:w="7397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Activity</w:t>
            </w:r>
          </w:p>
        </w:tc>
        <w:tc>
          <w:tcPr>
            <w:tcW w:w="217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Follow up</w:t>
            </w:r>
          </w:p>
        </w:tc>
      </w:tr>
      <w:tr w:rsidR="008D3B1E">
        <w:tc>
          <w:tcPr>
            <w:tcW w:w="7397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Presentation by Nicolas </w:t>
            </w:r>
            <w:proofErr w:type="spellStart"/>
            <w:r>
              <w:t>Guillaud</w:t>
            </w:r>
            <w:proofErr w:type="spellEnd"/>
            <w:r>
              <w:t xml:space="preserve"> and </w:t>
            </w:r>
            <w:proofErr w:type="spellStart"/>
            <w:r>
              <w:t>Zun</w:t>
            </w:r>
            <w:proofErr w:type="spellEnd"/>
            <w:r>
              <w:t xml:space="preserve"> Nu Yi Hlaing from WFP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Started development of form using ODK two years ago working with TSF for monthly and other reporting from the field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Farmers didn’t understand the English version well, so there was a need to translate not just the form itself but the application—error mes</w:t>
            </w:r>
            <w:r>
              <w:t>sages and other parts of the ODK skin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Technical demonstration of how to download, install and use the multi-tool application in order to add an ODK translation (see presentation for details)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Demonstration of what this looks like.  The application uses </w:t>
            </w:r>
            <w:proofErr w:type="spellStart"/>
            <w:r>
              <w:t>Zawg</w:t>
            </w:r>
            <w:r>
              <w:t>yi</w:t>
            </w:r>
            <w:proofErr w:type="spellEnd"/>
            <w:r>
              <w:t xml:space="preserve"> font so the devices we were using in the meeting didn’t show the translations properly.  (</w:t>
            </w:r>
            <w:r>
              <w:t>Older s</w:t>
            </w:r>
            <w:r>
              <w:t xml:space="preserve">tock </w:t>
            </w:r>
            <w:r>
              <w:t xml:space="preserve">Android </w:t>
            </w:r>
            <w:r>
              <w:t xml:space="preserve">doesn't include </w:t>
            </w:r>
            <w:r>
              <w:t xml:space="preserve">any Myanmar font. Newer 4.4+ Android include a UNICODE compatible Burmese font. </w:t>
            </w:r>
            <w:r>
              <w:t>HTC is apparently compatibl</w:t>
            </w:r>
            <w:r>
              <w:t>e with both.)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Requires a server.  With ODK, you can use Google’s </w:t>
            </w:r>
            <w:r>
              <w:t>App Engine</w:t>
            </w:r>
            <w:r>
              <w:t xml:space="preserve"> </w:t>
            </w:r>
            <w:r>
              <w:t xml:space="preserve">(cloud based application hosting) </w:t>
            </w:r>
            <w:r>
              <w:t>for free but privacy/security is limited to Google’s terms of use.  Some types of work (i.e. child protection) will need their own server.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</w:t>
            </w:r>
            <w:r>
              <w:t>his process can be repeated for other Myanmar languages.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WFP will send around the translation for feedback from group members.</w:t>
            </w:r>
          </w:p>
          <w:p w:rsidR="008D3B1E" w:rsidRDefault="008D3B1E">
            <w:pPr>
              <w:spacing w:after="0" w:line="240" w:lineRule="auto"/>
            </w:pPr>
          </w:p>
        </w:tc>
        <w:tc>
          <w:tcPr>
            <w:tcW w:w="217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WFP will send around presentation and translations</w:t>
            </w:r>
          </w:p>
          <w:p w:rsidR="008D3B1E" w:rsidRDefault="008D3B1E">
            <w:pPr>
              <w:spacing w:after="0" w:line="240" w:lineRule="auto"/>
            </w:pPr>
          </w:p>
          <w:p w:rsidR="008D3B1E" w:rsidRDefault="005B4B94">
            <w:pPr>
              <w:spacing w:after="0" w:line="240" w:lineRule="auto"/>
            </w:pPr>
            <w:r>
              <w:t xml:space="preserve">Group members to give feedback on translation before WFP finalizes and </w:t>
            </w:r>
            <w:r>
              <w:t>submits to the ODK library</w:t>
            </w:r>
          </w:p>
        </w:tc>
      </w:tr>
      <w:tr w:rsidR="008D3B1E">
        <w:tc>
          <w:tcPr>
            <w:tcW w:w="7397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Questions for discussion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Any type of inexpensive smartphone recommended that works with Burmese and Karen language, and works well with CommCare (TSF/PU-AMI)?  No recommendations in the meeting—Pact has been investigating some o</w:t>
            </w:r>
            <w:r>
              <w:t>ptions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Any keyboard recommendations that work with Karen language (TSF/PU-AMI)? </w:t>
            </w:r>
            <w:proofErr w:type="spellStart"/>
            <w:r>
              <w:t>Bagan</w:t>
            </w:r>
            <w:proofErr w:type="spellEnd"/>
            <w:r>
              <w:t xml:space="preserve"> keyboard</w:t>
            </w:r>
          </w:p>
          <w:p w:rsidR="008D3B1E" w:rsidRDefault="005B4B9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Any organizations using SMS in the agricultural space (World Concern)? Proximity Designs is doing agriculture but not with SMS.  Telenor/MSI and </w:t>
            </w:r>
            <w:proofErr w:type="spellStart"/>
            <w:r>
              <w:t>Ooredoo</w:t>
            </w:r>
            <w:proofErr w:type="spellEnd"/>
            <w:r>
              <w:t>/PSI apps</w:t>
            </w:r>
            <w:r>
              <w:t xml:space="preserve"> use SMS to disseminate health information.  Charles to send Sebastian contact info on a pest control project</w:t>
            </w:r>
          </w:p>
        </w:tc>
        <w:tc>
          <w:tcPr>
            <w:tcW w:w="217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Send any recommendations on phones to Charles Fleche at PU-AMI</w:t>
            </w:r>
          </w:p>
          <w:p w:rsidR="008D3B1E" w:rsidRDefault="008D3B1E">
            <w:pPr>
              <w:spacing w:after="0" w:line="240" w:lineRule="auto"/>
            </w:pPr>
          </w:p>
          <w:p w:rsidR="008D3B1E" w:rsidRDefault="005B4B94">
            <w:pPr>
              <w:spacing w:after="0" w:line="240" w:lineRule="auto"/>
            </w:pPr>
            <w:r>
              <w:t>Send any agriculture projects using SMS to Sebastian Glaeser at World Concern</w:t>
            </w:r>
          </w:p>
        </w:tc>
      </w:tr>
      <w:tr w:rsidR="008D3B1E">
        <w:tc>
          <w:tcPr>
            <w:tcW w:w="7397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Upc</w:t>
            </w:r>
            <w:r>
              <w:t>oming events</w:t>
            </w:r>
          </w:p>
          <w:p w:rsidR="008D3B1E" w:rsidRDefault="005B4B9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Next ICT4D working group meeting will be February 25 at 10 AM at MIMU.  Tentatively presentation will be from PSI on May </w:t>
            </w:r>
            <w:proofErr w:type="spellStart"/>
            <w:r>
              <w:t>May</w:t>
            </w:r>
            <w:proofErr w:type="spellEnd"/>
            <w:r>
              <w:t xml:space="preserve"> app rollout.</w:t>
            </w:r>
            <w:bookmarkStart w:id="0" w:name="_GoBack"/>
            <w:bookmarkEnd w:id="0"/>
          </w:p>
        </w:tc>
        <w:tc>
          <w:tcPr>
            <w:tcW w:w="2178" w:type="dxa"/>
            <w:shd w:val="clear" w:color="auto" w:fill="auto"/>
            <w:tcMar>
              <w:left w:w="108" w:type="dxa"/>
            </w:tcMar>
          </w:tcPr>
          <w:p w:rsidR="008D3B1E" w:rsidRDefault="008D3B1E">
            <w:pPr>
              <w:spacing w:after="0" w:line="240" w:lineRule="auto"/>
            </w:pPr>
          </w:p>
        </w:tc>
      </w:tr>
    </w:tbl>
    <w:p w:rsidR="008D3B1E" w:rsidRDefault="008D3B1E"/>
    <w:p w:rsidR="008D3B1E" w:rsidRDefault="005B4B94">
      <w:r>
        <w:t>Attendance</w:t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445"/>
        <w:gridCol w:w="1728"/>
        <w:gridCol w:w="1632"/>
        <w:gridCol w:w="1968"/>
        <w:gridCol w:w="3804"/>
      </w:tblGrid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#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Name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Organization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Position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Email</w:t>
            </w:r>
          </w:p>
        </w:tc>
      </w:tr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1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 Sebastian Glaeser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World Concern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Technical Advisor Agriculture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 glaeser@wcmm.org</w:t>
            </w:r>
          </w:p>
          <w:p w:rsidR="008D3B1E" w:rsidRDefault="008D3B1E">
            <w:pPr>
              <w:spacing w:after="0" w:line="240" w:lineRule="auto"/>
            </w:pPr>
          </w:p>
        </w:tc>
      </w:tr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2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 Dr. Myo Win Tin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Malaria </w:t>
            </w:r>
            <w:r>
              <w:t>Consortium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 m.tin@malariaconsortium.org</w:t>
            </w:r>
          </w:p>
        </w:tc>
      </w:tr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3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Nicolas </w:t>
            </w:r>
            <w:proofErr w:type="spellStart"/>
            <w:r>
              <w:t>Guillaud</w:t>
            </w:r>
            <w:proofErr w:type="spellEnd"/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WFP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VAM Officer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nicolas.guillaud@wfp.org</w:t>
            </w:r>
          </w:p>
        </w:tc>
      </w:tr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4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proofErr w:type="spellStart"/>
            <w:r>
              <w:t>Zun</w:t>
            </w:r>
            <w:proofErr w:type="spellEnd"/>
            <w:r>
              <w:t xml:space="preserve"> Nu Yi Hlaing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WFP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VAM Unit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Zunnuyi.hlaing@wfp.org</w:t>
            </w:r>
          </w:p>
        </w:tc>
      </w:tr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5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Charles Fleche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TSF/PU-AMI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proofErr w:type="spellStart"/>
            <w:r>
              <w:t>MHealth</w:t>
            </w:r>
            <w:proofErr w:type="spellEnd"/>
            <w:r>
              <w:t xml:space="preserve"> Advisor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mhealth-myanmar@tsfi.org</w:t>
            </w:r>
          </w:p>
        </w:tc>
      </w:tr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6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 Phyo Kyi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MIMU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phyo.kyi@undp.org</w:t>
            </w:r>
          </w:p>
        </w:tc>
      </w:tr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7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 xml:space="preserve">Aye </w:t>
            </w:r>
            <w:proofErr w:type="spellStart"/>
            <w:r>
              <w:t>Aye</w:t>
            </w:r>
            <w:proofErr w:type="spellEnd"/>
            <w:r>
              <w:t xml:space="preserve"> Kyuu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UNICEF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CP Officer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akyuu@unicef.org</w:t>
            </w:r>
          </w:p>
        </w:tc>
      </w:tr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8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Jay Harvey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UNICEF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CP Officer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hyperlink r:id="rId6">
              <w:r>
                <w:rPr>
                  <w:rStyle w:val="InternetLink"/>
                </w:rPr>
                <w:t>jfrereharvey@unicef.org</w:t>
              </w:r>
            </w:hyperlink>
          </w:p>
        </w:tc>
      </w:tr>
      <w:tr w:rsidR="008D3B1E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9</w:t>
            </w:r>
          </w:p>
        </w:tc>
        <w:tc>
          <w:tcPr>
            <w:tcW w:w="172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Jade Lamb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Pact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M&amp;E Manager</w:t>
            </w:r>
          </w:p>
        </w:tc>
        <w:tc>
          <w:tcPr>
            <w:tcW w:w="3804" w:type="dxa"/>
            <w:shd w:val="clear" w:color="auto" w:fill="auto"/>
            <w:tcMar>
              <w:left w:w="108" w:type="dxa"/>
            </w:tcMar>
          </w:tcPr>
          <w:p w:rsidR="008D3B1E" w:rsidRDefault="005B4B94">
            <w:pPr>
              <w:spacing w:after="0" w:line="240" w:lineRule="auto"/>
            </w:pPr>
            <w:r>
              <w:t>jlamb@pactworld.org</w:t>
            </w:r>
          </w:p>
        </w:tc>
      </w:tr>
    </w:tbl>
    <w:p w:rsidR="008D3B1E" w:rsidRDefault="008D3B1E"/>
    <w:sectPr w:rsidR="008D3B1E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CF0"/>
    <w:multiLevelType w:val="multilevel"/>
    <w:tmpl w:val="B526E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1415"/>
    <w:multiLevelType w:val="multilevel"/>
    <w:tmpl w:val="20061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645402"/>
    <w:multiLevelType w:val="multilevel"/>
    <w:tmpl w:val="0C2EB3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9A70F3"/>
    <w:multiLevelType w:val="multilevel"/>
    <w:tmpl w:val="D6A61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1E"/>
    <w:rsid w:val="005B4B94"/>
    <w:rsid w:val="008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rereharvey@unicef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7</cp:revision>
  <dcterms:created xsi:type="dcterms:W3CDTF">2015-01-29T10:23:00Z</dcterms:created>
  <dcterms:modified xsi:type="dcterms:W3CDTF">2015-02-06T04:23:00Z</dcterms:modified>
  <dc:language>fr-FR</dc:language>
</cp:coreProperties>
</file>