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02E8F" w14:textId="0A8E1C97" w:rsidR="00924678" w:rsidRPr="005913A1" w:rsidRDefault="00BA4D49" w:rsidP="00745DFF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</w:pPr>
      <w:r w:rsidRPr="005913A1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>KACHIN and NORTHERN SHAN</w:t>
      </w:r>
    </w:p>
    <w:p w14:paraId="4EB7ED9A" w14:textId="2135C3BD" w:rsidR="004A6FB1" w:rsidRPr="005913A1" w:rsidRDefault="00097B80" w:rsidP="00745DFF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913A1">
        <w:rPr>
          <w:rFonts w:ascii="Arial" w:hAnsi="Arial" w:cs="Arial"/>
          <w:b/>
          <w:bCs/>
          <w:sz w:val="24"/>
          <w:szCs w:val="24"/>
        </w:rPr>
        <w:t>Monthly report</w:t>
      </w:r>
    </w:p>
    <w:p w14:paraId="565DA104" w14:textId="73B00479" w:rsidR="00C34D5B" w:rsidRPr="005913A1" w:rsidRDefault="00992C82" w:rsidP="00745DFF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>April</w:t>
      </w:r>
      <w:r w:rsidR="00BF438C" w:rsidRPr="005913A1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 xml:space="preserve"> </w:t>
      </w:r>
      <w:r w:rsidR="00392B68" w:rsidRPr="005913A1">
        <w:rPr>
          <w:rFonts w:ascii="Arial" w:hAnsi="Arial" w:cs="Arial"/>
          <w:b/>
          <w:bCs/>
          <w:smallCaps/>
          <w:color w:val="FFFFFF" w:themeColor="background1"/>
          <w:sz w:val="24"/>
          <w:szCs w:val="24"/>
        </w:rPr>
        <w:t>2015</w:t>
      </w:r>
    </w:p>
    <w:bookmarkEnd w:id="0"/>
    <w:bookmarkEnd w:id="1"/>
    <w:p w14:paraId="0122FA0D" w14:textId="77777777" w:rsidR="004A6FB1" w:rsidRPr="005913A1" w:rsidRDefault="004A6FB1" w:rsidP="001324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6"/>
      </w:tblGrid>
      <w:tr w:rsidR="004A6FB1" w:rsidRPr="005913A1" w14:paraId="2D0356A4" w14:textId="77777777" w:rsidTr="003874BB">
        <w:trPr>
          <w:trHeight w:val="3156"/>
          <w:jc w:val="center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5DF74AD" w14:textId="718A1F84" w:rsidR="004A6FB1" w:rsidRPr="005913A1" w:rsidRDefault="004A6FB1" w:rsidP="001324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Produce</w:t>
            </w:r>
            <w:r w:rsidR="00CD0F52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by: </w:t>
            </w:r>
            <w:r w:rsidR="006916FD">
              <w:rPr>
                <w:rFonts w:ascii="Arial" w:hAnsi="Arial" w:cs="Arial"/>
                <w:sz w:val="24"/>
                <w:szCs w:val="24"/>
              </w:rPr>
              <w:tab/>
            </w:r>
            <w:r w:rsidR="00924678" w:rsidRPr="005913A1">
              <w:rPr>
                <w:rFonts w:ascii="Arial" w:hAnsi="Arial" w:cs="Arial"/>
                <w:sz w:val="24"/>
                <w:szCs w:val="24"/>
              </w:rPr>
              <w:t xml:space="preserve">Kachin &amp; North Shan </w:t>
            </w:r>
            <w:r w:rsidR="00962DF1" w:rsidRPr="005913A1">
              <w:rPr>
                <w:rFonts w:ascii="Arial" w:hAnsi="Arial" w:cs="Arial"/>
                <w:sz w:val="24"/>
                <w:szCs w:val="24"/>
              </w:rPr>
              <w:t>Wash Sub Cluster team</w:t>
            </w:r>
          </w:p>
          <w:p w14:paraId="588BF447" w14:textId="42150D1D" w:rsidR="004A6FB1" w:rsidRPr="005913A1" w:rsidRDefault="00177D1A" w:rsidP="001324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</w:t>
            </w:r>
            <w:r w:rsidR="004A6FB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rganization:</w:t>
            </w:r>
            <w:r w:rsidR="004A6FB1" w:rsidRPr="005913A1">
              <w:rPr>
                <w:rFonts w:ascii="Arial" w:hAnsi="Arial" w:cs="Arial"/>
                <w:sz w:val="24"/>
                <w:szCs w:val="24"/>
              </w:rPr>
              <w:tab/>
            </w:r>
            <w:r w:rsidR="004A6FB1" w:rsidRPr="005913A1">
              <w:rPr>
                <w:rFonts w:ascii="Arial" w:hAnsi="Arial" w:cs="Arial"/>
                <w:sz w:val="24"/>
                <w:szCs w:val="24"/>
              </w:rPr>
              <w:tab/>
            </w:r>
            <w:r w:rsidR="006C3A08" w:rsidRPr="005913A1">
              <w:rPr>
                <w:rFonts w:ascii="Arial" w:hAnsi="Arial" w:cs="Arial"/>
                <w:sz w:val="24"/>
                <w:szCs w:val="24"/>
              </w:rPr>
              <w:t>UNICEF</w:t>
            </w:r>
          </w:p>
          <w:p w14:paraId="0C272E86" w14:textId="77777777" w:rsidR="004A6FB1" w:rsidRPr="005913A1" w:rsidRDefault="00177D1A" w:rsidP="00745DFF">
            <w:pPr>
              <w:tabs>
                <w:tab w:val="left" w:pos="1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Location</w:t>
            </w:r>
            <w:r w:rsidR="004A6FB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:</w:t>
            </w:r>
            <w:r w:rsidR="004A6FB1" w:rsidRPr="005913A1">
              <w:rPr>
                <w:rFonts w:ascii="Arial" w:hAnsi="Arial" w:cs="Arial"/>
                <w:sz w:val="24"/>
                <w:szCs w:val="24"/>
              </w:rPr>
              <w:tab/>
            </w:r>
            <w:r w:rsidR="004A6FB1" w:rsidRPr="005913A1">
              <w:rPr>
                <w:rFonts w:ascii="Arial" w:hAnsi="Arial" w:cs="Arial"/>
                <w:sz w:val="24"/>
                <w:szCs w:val="24"/>
              </w:rPr>
              <w:tab/>
            </w:r>
            <w:r w:rsidRPr="005913A1">
              <w:rPr>
                <w:rFonts w:ascii="Arial" w:hAnsi="Arial" w:cs="Arial"/>
                <w:sz w:val="24"/>
                <w:szCs w:val="24"/>
              </w:rPr>
              <w:tab/>
            </w:r>
            <w:r w:rsidR="00962DF1" w:rsidRPr="005913A1">
              <w:rPr>
                <w:rFonts w:ascii="Arial" w:hAnsi="Arial" w:cs="Arial"/>
                <w:sz w:val="24"/>
                <w:szCs w:val="24"/>
              </w:rPr>
              <w:t>Myitkyina</w:t>
            </w:r>
          </w:p>
          <w:p w14:paraId="56307F47" w14:textId="555F59A1" w:rsidR="004A6FB1" w:rsidRPr="005913A1" w:rsidRDefault="00177D1A" w:rsidP="00745DFF">
            <w:pPr>
              <w:tabs>
                <w:tab w:val="left" w:pos="1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Month</w:t>
            </w:r>
            <w:r w:rsidR="004A6FB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:</w:t>
            </w:r>
            <w:r w:rsidRPr="005913A1">
              <w:rPr>
                <w:rFonts w:ascii="Arial" w:hAnsi="Arial" w:cs="Arial"/>
                <w:sz w:val="24"/>
                <w:szCs w:val="24"/>
              </w:rPr>
              <w:tab/>
            </w:r>
            <w:r w:rsidRPr="005913A1">
              <w:rPr>
                <w:rFonts w:ascii="Arial" w:hAnsi="Arial" w:cs="Arial"/>
                <w:sz w:val="24"/>
                <w:szCs w:val="24"/>
              </w:rPr>
              <w:tab/>
            </w:r>
            <w:r w:rsidRPr="005913A1">
              <w:rPr>
                <w:rFonts w:ascii="Arial" w:hAnsi="Arial" w:cs="Arial"/>
                <w:sz w:val="24"/>
                <w:szCs w:val="24"/>
              </w:rPr>
              <w:tab/>
            </w:r>
            <w:r w:rsidR="00992C82">
              <w:rPr>
                <w:rFonts w:ascii="Arial" w:hAnsi="Arial" w:cs="Arial"/>
                <w:sz w:val="24"/>
                <w:szCs w:val="24"/>
              </w:rPr>
              <w:t>April</w:t>
            </w:r>
            <w:r w:rsidR="00BF438C" w:rsidRPr="00591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B68" w:rsidRPr="005913A1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  <w:p w14:paraId="1D8FB444" w14:textId="77777777" w:rsidR="006A44D1" w:rsidRPr="005913A1" w:rsidRDefault="00C13A05" w:rsidP="00745DFF">
            <w:pPr>
              <w:tabs>
                <w:tab w:val="left" w:pos="1425"/>
              </w:tabs>
              <w:jc w:val="both"/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</w:pPr>
            <w:r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Resources</w:t>
            </w:r>
            <w:r w:rsidR="006A44D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:</w:t>
            </w:r>
            <w:r w:rsidR="006A44D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ab/>
            </w:r>
            <w:r w:rsidR="006A44D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ab/>
            </w:r>
            <w:r w:rsidR="006A44D1" w:rsidRPr="005913A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ab/>
            </w:r>
            <w:hyperlink r:id="rId8" w:history="1">
              <w:r w:rsidRPr="005913A1">
                <w:rPr>
                  <w:rStyle w:val="Hyperlink"/>
                  <w:rFonts w:ascii="Arial" w:hAnsi="Arial" w:cs="Arial"/>
                  <w:i/>
                  <w:color w:val="6666FF" w:themeColor="hyperlink" w:themeTint="99"/>
                  <w:sz w:val="24"/>
                  <w:szCs w:val="24"/>
                </w:rPr>
                <w:t>http://www.themimu.info/emergencies/wash-cluster</w:t>
              </w:r>
            </w:hyperlink>
            <w:r w:rsidRPr="005913A1"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6A44D1" w:rsidRPr="005913A1">
              <w:rPr>
                <w:rFonts w:ascii="Arial" w:hAnsi="Arial" w:cs="Arial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14:paraId="68830B3F" w14:textId="77777777" w:rsidR="00616F7A" w:rsidRPr="005913A1" w:rsidRDefault="00616F7A" w:rsidP="00616F7A">
      <w:pPr>
        <w:rPr>
          <w:rFonts w:ascii="Arial" w:hAnsi="Arial" w:cs="Arial"/>
          <w:color w:val="0563C1"/>
          <w:sz w:val="24"/>
          <w:szCs w:val="24"/>
        </w:rPr>
      </w:pPr>
    </w:p>
    <w:p w14:paraId="369E9A0F" w14:textId="3BC89DCD" w:rsidR="00F6108D" w:rsidRPr="005913A1" w:rsidRDefault="002D6B91" w:rsidP="00F6108D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O</w:t>
      </w:r>
      <w:r w:rsidR="000F13B6" w:rsidRPr="005913A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verall Humanitarian WASH situation</w:t>
      </w:r>
      <w:r w:rsidRPr="002D6B9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and </w:t>
      </w:r>
      <w:r w:rsidRPr="005913A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WASH actor’s</w:t>
      </w: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mobilization</w:t>
      </w:r>
    </w:p>
    <w:p w14:paraId="1D2CB5EB" w14:textId="3EE1DDE5" w:rsidR="00992C82" w:rsidRDefault="00992C82" w:rsidP="00205D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specific clashes required the mobilization of WASH cluster members in April. However, </w:t>
      </w:r>
      <w:r w:rsidR="00205D63">
        <w:rPr>
          <w:rFonts w:ascii="Arial" w:hAnsi="Arial" w:cs="Arial"/>
          <w:sz w:val="24"/>
          <w:szCs w:val="24"/>
        </w:rPr>
        <w:t>a</w:t>
      </w:r>
      <w:r w:rsidRPr="00205D63">
        <w:rPr>
          <w:rFonts w:ascii="Arial" w:hAnsi="Arial" w:cs="Arial"/>
          <w:sz w:val="24"/>
          <w:szCs w:val="24"/>
        </w:rPr>
        <w:t xml:space="preserve">pproximately 270 people were displaced </w:t>
      </w:r>
      <w:r w:rsidR="007F3AD4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7F3AD4">
        <w:rPr>
          <w:rFonts w:ascii="Arial" w:hAnsi="Arial" w:cs="Arial"/>
          <w:sz w:val="24"/>
          <w:szCs w:val="24"/>
        </w:rPr>
        <w:t>Tanai</w:t>
      </w:r>
      <w:proofErr w:type="spellEnd"/>
      <w:r w:rsidR="00205D63">
        <w:rPr>
          <w:rFonts w:ascii="Arial" w:hAnsi="Arial" w:cs="Arial"/>
          <w:sz w:val="24"/>
          <w:szCs w:val="24"/>
        </w:rPr>
        <w:t xml:space="preserve"> Township </w:t>
      </w:r>
      <w:r w:rsidRPr="00205D63">
        <w:rPr>
          <w:rFonts w:ascii="Arial" w:hAnsi="Arial" w:cs="Arial"/>
          <w:sz w:val="24"/>
          <w:szCs w:val="24"/>
        </w:rPr>
        <w:t xml:space="preserve">due to fighting which ceased on 22 April. </w:t>
      </w:r>
      <w:r w:rsidR="00AE42F3">
        <w:rPr>
          <w:rFonts w:ascii="Arial" w:hAnsi="Arial" w:cs="Arial"/>
          <w:sz w:val="24"/>
          <w:szCs w:val="24"/>
        </w:rPr>
        <w:t>These IDPs stay</w:t>
      </w:r>
      <w:r w:rsidRPr="00205D63">
        <w:rPr>
          <w:rFonts w:ascii="Arial" w:hAnsi="Arial" w:cs="Arial"/>
          <w:sz w:val="24"/>
          <w:szCs w:val="24"/>
        </w:rPr>
        <w:t xml:space="preserve"> at the Baptist and RC churches in </w:t>
      </w:r>
      <w:proofErr w:type="spellStart"/>
      <w:r w:rsidRPr="00205D63">
        <w:rPr>
          <w:rFonts w:ascii="Arial" w:hAnsi="Arial" w:cs="Arial"/>
          <w:sz w:val="24"/>
          <w:szCs w:val="24"/>
        </w:rPr>
        <w:t>Tanai</w:t>
      </w:r>
      <w:proofErr w:type="spellEnd"/>
      <w:r w:rsidRPr="00205D63">
        <w:rPr>
          <w:rFonts w:ascii="Arial" w:hAnsi="Arial" w:cs="Arial"/>
          <w:sz w:val="24"/>
          <w:szCs w:val="24"/>
        </w:rPr>
        <w:t xml:space="preserve">. The GAD has reportedly provided some assistance. Since the situation could be temporary, the churches have not appealed </w:t>
      </w:r>
      <w:r w:rsidR="00205D63">
        <w:rPr>
          <w:rFonts w:ascii="Arial" w:hAnsi="Arial" w:cs="Arial"/>
          <w:sz w:val="24"/>
          <w:szCs w:val="24"/>
        </w:rPr>
        <w:t>for assistance</w:t>
      </w:r>
      <w:r w:rsidRPr="00205D63">
        <w:rPr>
          <w:rFonts w:ascii="Arial" w:hAnsi="Arial" w:cs="Arial"/>
          <w:sz w:val="24"/>
          <w:szCs w:val="24"/>
        </w:rPr>
        <w:t xml:space="preserve">. 300 migrant workers </w:t>
      </w:r>
      <w:r w:rsidR="00205D63">
        <w:rPr>
          <w:rFonts w:ascii="Arial" w:hAnsi="Arial" w:cs="Arial"/>
          <w:sz w:val="24"/>
          <w:szCs w:val="24"/>
        </w:rPr>
        <w:t>have been also</w:t>
      </w:r>
      <w:r w:rsidRPr="00205D63">
        <w:rPr>
          <w:rFonts w:ascii="Arial" w:hAnsi="Arial" w:cs="Arial"/>
          <w:sz w:val="24"/>
          <w:szCs w:val="24"/>
        </w:rPr>
        <w:t xml:space="preserve"> reported to be unable to move from the area due to the fighting.</w:t>
      </w:r>
      <w:r w:rsidR="00205D63">
        <w:rPr>
          <w:rFonts w:ascii="Arial" w:hAnsi="Arial" w:cs="Arial"/>
          <w:sz w:val="24"/>
          <w:szCs w:val="24"/>
        </w:rPr>
        <w:t xml:space="preserve"> </w:t>
      </w:r>
      <w:r w:rsidR="007F3AD4">
        <w:rPr>
          <w:rFonts w:ascii="Arial" w:hAnsi="Arial" w:cs="Arial"/>
          <w:sz w:val="24"/>
          <w:szCs w:val="24"/>
        </w:rPr>
        <w:t>T</w:t>
      </w:r>
      <w:r w:rsidR="00205D63">
        <w:rPr>
          <w:rFonts w:ascii="Arial" w:hAnsi="Arial" w:cs="Arial"/>
          <w:sz w:val="24"/>
          <w:szCs w:val="24"/>
        </w:rPr>
        <w:t>ravel authorization</w:t>
      </w:r>
      <w:r w:rsidR="007F3AD4">
        <w:rPr>
          <w:rFonts w:ascii="Arial" w:hAnsi="Arial" w:cs="Arial"/>
          <w:sz w:val="24"/>
          <w:szCs w:val="24"/>
        </w:rPr>
        <w:t>s</w:t>
      </w:r>
      <w:r w:rsidR="00205D63">
        <w:rPr>
          <w:rFonts w:ascii="Arial" w:hAnsi="Arial" w:cs="Arial"/>
          <w:sz w:val="24"/>
          <w:szCs w:val="24"/>
        </w:rPr>
        <w:t xml:space="preserve"> </w:t>
      </w:r>
      <w:r w:rsidR="007F3AD4">
        <w:rPr>
          <w:rFonts w:ascii="Arial" w:hAnsi="Arial" w:cs="Arial"/>
          <w:sz w:val="24"/>
          <w:szCs w:val="24"/>
        </w:rPr>
        <w:t>are</w:t>
      </w:r>
      <w:r w:rsidR="00205D63">
        <w:rPr>
          <w:rFonts w:ascii="Arial" w:hAnsi="Arial" w:cs="Arial"/>
          <w:sz w:val="24"/>
          <w:szCs w:val="24"/>
        </w:rPr>
        <w:t xml:space="preserve"> needed for international staff and agencies to access to this area.</w:t>
      </w:r>
    </w:p>
    <w:p w14:paraId="11E66B04" w14:textId="77777777" w:rsidR="00C96B7B" w:rsidRDefault="00C96B7B" w:rsidP="00992C82">
      <w:pPr>
        <w:pStyle w:val="CommentText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3EC6FE49" w14:textId="77777777" w:rsidR="003C16B4" w:rsidRPr="005913A1" w:rsidRDefault="003C16B4" w:rsidP="00992C82">
      <w:pPr>
        <w:pStyle w:val="CommentText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12A8F308" w14:textId="41EA1A42" w:rsidR="000239CB" w:rsidRPr="005913A1" w:rsidRDefault="00205D63" w:rsidP="000239CB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Cross line missions</w:t>
      </w:r>
    </w:p>
    <w:p w14:paraId="7680261C" w14:textId="47BDB111" w:rsidR="000239CB" w:rsidRDefault="00205D63" w:rsidP="000239CB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 line mission have resumed in Kachin following a 6 m</w:t>
      </w:r>
      <w:r w:rsidR="007F3AD4">
        <w:rPr>
          <w:rFonts w:ascii="Arial" w:hAnsi="Arial" w:cs="Arial"/>
          <w:sz w:val="24"/>
          <w:szCs w:val="24"/>
        </w:rPr>
        <w:t>onths break</w:t>
      </w:r>
      <w:r w:rsidR="00D93806">
        <w:rPr>
          <w:rFonts w:ascii="Arial" w:hAnsi="Arial" w:cs="Arial"/>
          <w:sz w:val="24"/>
          <w:szCs w:val="24"/>
        </w:rPr>
        <w:t xml:space="preserve"> due to the overall humanitarian situation.</w:t>
      </w:r>
    </w:p>
    <w:p w14:paraId="2EE85880" w14:textId="5A8A40CB" w:rsidR="000059BF" w:rsidRDefault="000059BF" w:rsidP="00FE2C7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Laiza area that includes notably two highly populated IDP camps (11722</w:t>
      </w:r>
      <w:r w:rsidR="00FE2C78">
        <w:rPr>
          <w:rFonts w:ascii="Arial" w:hAnsi="Arial" w:cs="Arial"/>
          <w:sz w:val="24"/>
          <w:szCs w:val="24"/>
        </w:rPr>
        <w:t xml:space="preserve"> IDPs </w:t>
      </w:r>
      <w:proofErr w:type="spellStart"/>
      <w:r w:rsidR="00FE2C78">
        <w:rPr>
          <w:rFonts w:ascii="Arial" w:hAnsi="Arial" w:cs="Arial"/>
          <w:sz w:val="24"/>
          <w:szCs w:val="24"/>
        </w:rPr>
        <w:t>ie</w:t>
      </w:r>
      <w:proofErr w:type="spellEnd"/>
      <w:r w:rsidR="00FE2C78">
        <w:rPr>
          <w:rFonts w:ascii="Arial" w:hAnsi="Arial" w:cs="Arial"/>
          <w:sz w:val="24"/>
          <w:szCs w:val="24"/>
        </w:rPr>
        <w:t xml:space="preserve"> about 15% of total IDPs camps population</w:t>
      </w:r>
      <w:r>
        <w:rPr>
          <w:rFonts w:ascii="Arial" w:hAnsi="Arial" w:cs="Arial"/>
          <w:sz w:val="24"/>
          <w:szCs w:val="24"/>
        </w:rPr>
        <w:t xml:space="preserve">) </w:t>
      </w:r>
      <w:r w:rsidR="00DD79FA">
        <w:rPr>
          <w:rFonts w:ascii="Arial" w:hAnsi="Arial" w:cs="Arial"/>
          <w:sz w:val="24"/>
          <w:szCs w:val="24"/>
        </w:rPr>
        <w:t xml:space="preserve">and where there are current WASH projects </w:t>
      </w:r>
      <w:r>
        <w:rPr>
          <w:rFonts w:ascii="Arial" w:hAnsi="Arial" w:cs="Arial"/>
          <w:sz w:val="24"/>
          <w:szCs w:val="24"/>
        </w:rPr>
        <w:t xml:space="preserve">was not part of these cross line missions and has been not accessible by international Humanitarian agencies for </w:t>
      </w:r>
      <w:r w:rsidR="00EA2F1F">
        <w:rPr>
          <w:rFonts w:ascii="Arial" w:hAnsi="Arial" w:cs="Arial"/>
          <w:sz w:val="24"/>
          <w:szCs w:val="24"/>
        </w:rPr>
        <w:t>8 months</w:t>
      </w:r>
      <w:r w:rsidR="00FE2C78">
        <w:rPr>
          <w:rFonts w:ascii="Arial" w:hAnsi="Arial" w:cs="Arial"/>
          <w:sz w:val="24"/>
          <w:szCs w:val="24"/>
        </w:rPr>
        <w:t>.</w:t>
      </w:r>
    </w:p>
    <w:p w14:paraId="1FCD3B04" w14:textId="7C73F78B" w:rsidR="00C96B7B" w:rsidRDefault="00C96B7B" w:rsidP="000239CB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WASH cluster team has been participated to the following cross line missions:</w:t>
      </w:r>
    </w:p>
    <w:p w14:paraId="4668421E" w14:textId="77777777" w:rsidR="00C96B7B" w:rsidRDefault="00C96B7B" w:rsidP="00D10834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75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3"/>
        <w:gridCol w:w="3260"/>
      </w:tblGrid>
      <w:tr w:rsidR="00C96B7B" w:rsidRPr="00C96B7B" w14:paraId="0F1B2A91" w14:textId="77777777" w:rsidTr="00C96B7B">
        <w:trPr>
          <w:trHeight w:val="399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1A7DF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lastRenderedPageBreak/>
              <w:t xml:space="preserve">Mai Ja Yang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1D22D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t>31</w:t>
            </w:r>
            <w:r w:rsidRPr="00C96B7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96B7B">
              <w:rPr>
                <w:rFonts w:ascii="Arial" w:hAnsi="Arial" w:cs="Arial"/>
                <w:sz w:val="24"/>
                <w:szCs w:val="24"/>
              </w:rPr>
              <w:t xml:space="preserve"> March – 5</w:t>
            </w:r>
            <w:r w:rsidRPr="00C96B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96B7B">
              <w:rPr>
                <w:rFonts w:ascii="Arial" w:hAnsi="Arial" w:cs="Arial"/>
                <w:sz w:val="24"/>
                <w:szCs w:val="24"/>
              </w:rPr>
              <w:t xml:space="preserve"> April 15</w:t>
            </w:r>
          </w:p>
        </w:tc>
      </w:tr>
      <w:tr w:rsidR="00C96B7B" w:rsidRPr="00C96B7B" w14:paraId="5E39CC0A" w14:textId="77777777" w:rsidTr="00C96B7B">
        <w:trPr>
          <w:trHeight w:val="325"/>
        </w:trPr>
        <w:tc>
          <w:tcPr>
            <w:tcW w:w="4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CBB05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t xml:space="preserve">Lana </w:t>
            </w:r>
            <w:proofErr w:type="spellStart"/>
            <w:r w:rsidRPr="00C96B7B">
              <w:rPr>
                <w:rFonts w:ascii="Arial" w:hAnsi="Arial" w:cs="Arial"/>
                <w:sz w:val="24"/>
                <w:szCs w:val="24"/>
              </w:rPr>
              <w:t>Zup</w:t>
            </w:r>
            <w:proofErr w:type="spellEnd"/>
            <w:r w:rsidRPr="00C96B7B">
              <w:rPr>
                <w:rFonts w:ascii="Arial" w:hAnsi="Arial" w:cs="Arial"/>
                <w:sz w:val="24"/>
                <w:szCs w:val="24"/>
              </w:rPr>
              <w:t xml:space="preserve"> Ja and Bum </w:t>
            </w:r>
            <w:proofErr w:type="spellStart"/>
            <w:r w:rsidRPr="00C96B7B">
              <w:rPr>
                <w:rFonts w:ascii="Arial" w:hAnsi="Arial" w:cs="Arial"/>
                <w:sz w:val="24"/>
                <w:szCs w:val="24"/>
              </w:rPr>
              <w:t>Tsit</w:t>
            </w:r>
            <w:proofErr w:type="spellEnd"/>
            <w:r w:rsidRPr="00C96B7B">
              <w:rPr>
                <w:rFonts w:ascii="Arial" w:hAnsi="Arial" w:cs="Arial"/>
                <w:sz w:val="24"/>
                <w:szCs w:val="24"/>
              </w:rPr>
              <w:t xml:space="preserve"> Pa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F6716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t xml:space="preserve">25 to 29 April 2015 </w:t>
            </w:r>
          </w:p>
        </w:tc>
      </w:tr>
      <w:tr w:rsidR="00C96B7B" w:rsidRPr="00C96B7B" w14:paraId="21C63087" w14:textId="77777777" w:rsidTr="00C96B7B">
        <w:trPr>
          <w:trHeight w:val="289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5928B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B7B">
              <w:rPr>
                <w:rFonts w:ascii="Arial" w:hAnsi="Arial" w:cs="Arial"/>
                <w:sz w:val="24"/>
                <w:szCs w:val="24"/>
                <w:lang w:val="en-GB"/>
              </w:rPr>
              <w:t>Chipwi</w:t>
            </w:r>
            <w:proofErr w:type="spellEnd"/>
            <w:r w:rsidRPr="00C96B7B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Pan War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3C273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  <w:lang w:val="en-GB"/>
              </w:rPr>
              <w:t>22 -26 April 2015</w:t>
            </w:r>
          </w:p>
        </w:tc>
      </w:tr>
      <w:tr w:rsidR="00C96B7B" w:rsidRPr="00C96B7B" w14:paraId="43C23FC2" w14:textId="77777777" w:rsidTr="00C96B7B">
        <w:trPr>
          <w:trHeight w:val="397"/>
        </w:trPr>
        <w:tc>
          <w:tcPr>
            <w:tcW w:w="4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0639D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t>Border Post 8 and Post 6 Camps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A5D33" w14:textId="77777777" w:rsidR="00C96B7B" w:rsidRPr="00C96B7B" w:rsidRDefault="00C96B7B" w:rsidP="00C96B7B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B7B">
              <w:rPr>
                <w:rFonts w:ascii="Arial" w:hAnsi="Arial" w:cs="Arial"/>
                <w:sz w:val="24"/>
                <w:szCs w:val="24"/>
              </w:rPr>
              <w:t>27</w:t>
            </w:r>
            <w:r w:rsidRPr="00C96B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96B7B">
              <w:rPr>
                <w:rFonts w:ascii="Arial" w:hAnsi="Arial" w:cs="Arial"/>
                <w:sz w:val="24"/>
                <w:szCs w:val="24"/>
              </w:rPr>
              <w:t xml:space="preserve"> -30</w:t>
            </w:r>
            <w:r w:rsidRPr="00C96B7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96B7B">
              <w:rPr>
                <w:rFonts w:ascii="Arial" w:hAnsi="Arial" w:cs="Arial"/>
                <w:sz w:val="24"/>
                <w:szCs w:val="24"/>
              </w:rPr>
              <w:t xml:space="preserve"> April 15</w:t>
            </w:r>
          </w:p>
        </w:tc>
      </w:tr>
    </w:tbl>
    <w:p w14:paraId="7A0A7A3F" w14:textId="27376FCF" w:rsidR="00AE42F3" w:rsidRDefault="00AE42F3" w:rsidP="00D1083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AFC21CC" w14:textId="3E9A023D" w:rsidR="00D93806" w:rsidRDefault="00D93806" w:rsidP="00D108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 and maintenance activities of existing WASH facilities as well as capacity development activities have been the main needs identified through these cross line missions along with a need to upgrade and in some locations complete the WASH facilities. The fi</w:t>
      </w:r>
      <w:r w:rsidR="00E37BB9">
        <w:rPr>
          <w:rFonts w:ascii="Arial" w:hAnsi="Arial" w:cs="Arial"/>
          <w:sz w:val="24"/>
          <w:szCs w:val="24"/>
        </w:rPr>
        <w:t>nding</w:t>
      </w:r>
      <w:r>
        <w:rPr>
          <w:rFonts w:ascii="Arial" w:hAnsi="Arial" w:cs="Arial"/>
          <w:sz w:val="24"/>
          <w:szCs w:val="24"/>
        </w:rPr>
        <w:t xml:space="preserve">s of these cross line missions have been </w:t>
      </w:r>
      <w:r w:rsidR="00E37BB9">
        <w:rPr>
          <w:rFonts w:ascii="Arial" w:hAnsi="Arial" w:cs="Arial"/>
          <w:sz w:val="24"/>
          <w:szCs w:val="24"/>
        </w:rPr>
        <w:t>shared with the WASH cluster.</w:t>
      </w:r>
    </w:p>
    <w:p w14:paraId="3D6463BF" w14:textId="012A1FBD" w:rsidR="00C96B7B" w:rsidRDefault="00C96B7B" w:rsidP="00D108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cross line missions have been </w:t>
      </w:r>
      <w:r w:rsidR="00E37BB9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the opportunity for UNICEF to distribute </w:t>
      </w:r>
      <w:r w:rsidR="003F6600" w:rsidRPr="003F6600">
        <w:rPr>
          <w:rFonts w:ascii="Arial" w:hAnsi="Arial" w:cs="Arial"/>
          <w:sz w:val="24"/>
          <w:szCs w:val="24"/>
        </w:rPr>
        <w:t>427 basi</w:t>
      </w:r>
      <w:r w:rsidR="003F6600">
        <w:rPr>
          <w:rFonts w:ascii="Arial" w:hAnsi="Arial" w:cs="Arial"/>
          <w:sz w:val="24"/>
          <w:szCs w:val="24"/>
        </w:rPr>
        <w:t xml:space="preserve">c Hygiene kits and 1263 refill kits to 2736 IDPs living </w:t>
      </w:r>
      <w:r>
        <w:rPr>
          <w:rFonts w:ascii="Arial" w:hAnsi="Arial" w:cs="Arial"/>
          <w:sz w:val="24"/>
          <w:szCs w:val="24"/>
        </w:rPr>
        <w:t xml:space="preserve">in </w:t>
      </w:r>
      <w:r w:rsidR="00E37BB9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IDPs locations </w:t>
      </w:r>
      <w:r w:rsidR="003F6600">
        <w:rPr>
          <w:rFonts w:ascii="Arial" w:hAnsi="Arial" w:cs="Arial"/>
          <w:sz w:val="24"/>
          <w:szCs w:val="24"/>
        </w:rPr>
        <w:t xml:space="preserve">where WASH NFI gaps have been identified by the WASH focal agencies and </w:t>
      </w:r>
      <w:r w:rsidR="000059BF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humanitarian assistance is very challenging from June to September</w:t>
      </w:r>
      <w:r w:rsidR="00E37BB9">
        <w:rPr>
          <w:rFonts w:ascii="Arial" w:hAnsi="Arial" w:cs="Arial"/>
          <w:sz w:val="24"/>
          <w:szCs w:val="24"/>
        </w:rPr>
        <w:t xml:space="preserve"> due to rainy season</w:t>
      </w:r>
      <w:r w:rsidR="003F6600">
        <w:rPr>
          <w:rFonts w:ascii="Arial" w:hAnsi="Arial" w:cs="Arial"/>
          <w:sz w:val="24"/>
          <w:szCs w:val="24"/>
        </w:rPr>
        <w:t>.</w:t>
      </w:r>
    </w:p>
    <w:p w14:paraId="2E6811D6" w14:textId="77777777" w:rsidR="00C96B7B" w:rsidRDefault="00C96B7B" w:rsidP="00D1083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3A60FD5" w14:textId="02AD8B74" w:rsidR="004452C9" w:rsidRPr="005913A1" w:rsidRDefault="004452C9" w:rsidP="004452C9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WASH assessment</w:t>
      </w:r>
    </w:p>
    <w:p w14:paraId="64BA2137" w14:textId="42042487" w:rsidR="004452C9" w:rsidRPr="00566A0D" w:rsidRDefault="00210BB0" w:rsidP="004452C9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Joint WASH assessment in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Hpakant</w:t>
      </w:r>
      <w:proofErr w:type="spellEnd"/>
    </w:p>
    <w:p w14:paraId="4050FAC7" w14:textId="3B4AA411" w:rsidR="00A75CBC" w:rsidRDefault="0050326E" w:rsidP="0050326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joint WASH assessment including DRD township authorities, Shalom and WASH cluster teams has been carried </w:t>
      </w:r>
      <w:r w:rsidRPr="0050326E">
        <w:rPr>
          <w:rFonts w:ascii="Arial" w:hAnsi="Arial" w:cs="Arial"/>
          <w:sz w:val="24"/>
          <w:szCs w:val="24"/>
        </w:rPr>
        <w:t xml:space="preserve">out in </w:t>
      </w:r>
      <w:proofErr w:type="spellStart"/>
      <w:r w:rsidRPr="0050326E">
        <w:rPr>
          <w:rFonts w:ascii="Arial" w:hAnsi="Arial" w:cs="Arial"/>
          <w:sz w:val="24"/>
          <w:szCs w:val="24"/>
        </w:rPr>
        <w:t>Hpakant</w:t>
      </w:r>
      <w:proofErr w:type="spellEnd"/>
      <w:r w:rsidRPr="0050326E">
        <w:rPr>
          <w:rFonts w:ascii="Arial" w:hAnsi="Arial" w:cs="Arial"/>
          <w:sz w:val="24"/>
          <w:szCs w:val="24"/>
        </w:rPr>
        <w:t xml:space="preserve"> area from first to seventh April. </w:t>
      </w:r>
      <w:r w:rsidR="00A75CBC">
        <w:rPr>
          <w:rFonts w:ascii="Arial" w:hAnsi="Arial" w:cs="Arial"/>
          <w:sz w:val="24"/>
          <w:szCs w:val="24"/>
        </w:rPr>
        <w:t xml:space="preserve">This assessment targeted </w:t>
      </w:r>
      <w:r w:rsidR="00A75CBC" w:rsidRPr="0050326E">
        <w:rPr>
          <w:rFonts w:ascii="Arial" w:hAnsi="Arial" w:cs="Arial"/>
          <w:sz w:val="24"/>
          <w:szCs w:val="24"/>
        </w:rPr>
        <w:t xml:space="preserve">20 camps </w:t>
      </w:r>
      <w:r w:rsidR="00A75CBC">
        <w:rPr>
          <w:rFonts w:ascii="Arial" w:hAnsi="Arial" w:cs="Arial"/>
          <w:sz w:val="24"/>
          <w:szCs w:val="24"/>
        </w:rPr>
        <w:t>out of a total of 22 IDPs camps</w:t>
      </w:r>
      <w:r w:rsidR="00F66B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66B57">
        <w:rPr>
          <w:rFonts w:ascii="Arial" w:hAnsi="Arial" w:cs="Arial"/>
          <w:sz w:val="24"/>
          <w:szCs w:val="24"/>
        </w:rPr>
        <w:t>H</w:t>
      </w:r>
      <w:r w:rsidR="00A75CBC">
        <w:rPr>
          <w:rFonts w:ascii="Arial" w:hAnsi="Arial" w:cs="Arial"/>
          <w:sz w:val="24"/>
          <w:szCs w:val="24"/>
        </w:rPr>
        <w:t>p</w:t>
      </w:r>
      <w:r w:rsidR="00F66B57">
        <w:rPr>
          <w:rFonts w:ascii="Arial" w:hAnsi="Arial" w:cs="Arial"/>
          <w:sz w:val="24"/>
          <w:szCs w:val="24"/>
        </w:rPr>
        <w:t>a</w:t>
      </w:r>
      <w:r w:rsidR="00A75CBC">
        <w:rPr>
          <w:rFonts w:ascii="Arial" w:hAnsi="Arial" w:cs="Arial"/>
          <w:sz w:val="24"/>
          <w:szCs w:val="24"/>
        </w:rPr>
        <w:t>kant</w:t>
      </w:r>
      <w:proofErr w:type="spellEnd"/>
      <w:r w:rsidR="00A75CBC">
        <w:rPr>
          <w:rFonts w:ascii="Arial" w:hAnsi="Arial" w:cs="Arial"/>
          <w:sz w:val="24"/>
          <w:szCs w:val="24"/>
        </w:rPr>
        <w:t xml:space="preserve"> area and host </w:t>
      </w:r>
      <w:r w:rsidR="00A75CBC" w:rsidRPr="0050326E">
        <w:rPr>
          <w:rFonts w:cs="Arial"/>
          <w:sz w:val="24"/>
        </w:rPr>
        <w:t>3442 IDP</w:t>
      </w:r>
      <w:r w:rsidR="00A75CBC">
        <w:rPr>
          <w:rFonts w:ascii="Arial" w:hAnsi="Arial" w:cs="Arial"/>
          <w:sz w:val="24"/>
          <w:szCs w:val="24"/>
        </w:rPr>
        <w:t>s.</w:t>
      </w:r>
    </w:p>
    <w:p w14:paraId="6AE9FF91" w14:textId="223A3463" w:rsidR="00A75CBC" w:rsidRDefault="00A75CBC" w:rsidP="0050326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joint assessment was to assess the impact of 392 additional</w:t>
      </w:r>
      <w:r w:rsidR="00947548">
        <w:rPr>
          <w:rFonts w:ascii="Arial" w:hAnsi="Arial" w:cs="Arial"/>
          <w:sz w:val="24"/>
          <w:szCs w:val="24"/>
        </w:rPr>
        <w:t xml:space="preserve"> IDPs</w:t>
      </w:r>
      <w:r>
        <w:rPr>
          <w:rFonts w:ascii="Arial" w:hAnsi="Arial" w:cs="Arial"/>
          <w:sz w:val="24"/>
          <w:szCs w:val="24"/>
        </w:rPr>
        <w:t xml:space="preserve"> in six existing IDPs camps on the WASH facilities</w:t>
      </w:r>
      <w:r w:rsidR="005F3496">
        <w:rPr>
          <w:rFonts w:ascii="Arial" w:hAnsi="Arial" w:cs="Arial"/>
          <w:sz w:val="24"/>
          <w:szCs w:val="24"/>
        </w:rPr>
        <w:t>. This assessment aimed also at</w:t>
      </w:r>
      <w:r>
        <w:rPr>
          <w:rFonts w:ascii="Arial" w:hAnsi="Arial" w:cs="Arial"/>
          <w:sz w:val="24"/>
          <w:szCs w:val="24"/>
        </w:rPr>
        <w:t xml:space="preserve"> monitor</w:t>
      </w:r>
      <w:r w:rsidR="005F3496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 overall WASH</w:t>
      </w:r>
      <w:r w:rsidR="00947548">
        <w:rPr>
          <w:rFonts w:ascii="Arial" w:hAnsi="Arial" w:cs="Arial"/>
          <w:sz w:val="24"/>
          <w:szCs w:val="24"/>
        </w:rPr>
        <w:t xml:space="preserve"> situation in these locations where there is no WASH actor since</w:t>
      </w:r>
      <w:r>
        <w:rPr>
          <w:rFonts w:ascii="Arial" w:hAnsi="Arial" w:cs="Arial"/>
          <w:sz w:val="24"/>
          <w:szCs w:val="24"/>
        </w:rPr>
        <w:t xml:space="preserve"> the end of December 2014</w:t>
      </w:r>
      <w:r w:rsidR="00F76D8D">
        <w:rPr>
          <w:rFonts w:ascii="Arial" w:hAnsi="Arial" w:cs="Arial"/>
          <w:sz w:val="24"/>
          <w:szCs w:val="24"/>
        </w:rPr>
        <w:t xml:space="preserve"> due to funding gap</w:t>
      </w:r>
      <w:r>
        <w:rPr>
          <w:rFonts w:ascii="Arial" w:hAnsi="Arial" w:cs="Arial"/>
          <w:sz w:val="24"/>
          <w:szCs w:val="24"/>
        </w:rPr>
        <w:t>.</w:t>
      </w:r>
      <w:r w:rsidR="00947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Besides, this assessment has been also an opportunity to strengthen the capacity of WASH cluster </w:t>
      </w:r>
      <w:r w:rsidR="005F3496">
        <w:rPr>
          <w:rFonts w:ascii="Arial" w:hAnsi="Arial" w:cs="Arial"/>
          <w:sz w:val="24"/>
          <w:szCs w:val="24"/>
        </w:rPr>
        <w:t>members in terms of assessment methodology.</w:t>
      </w:r>
    </w:p>
    <w:p w14:paraId="1513649F" w14:textId="3F928E9E" w:rsidR="005F3496" w:rsidRDefault="00F76D8D" w:rsidP="0050326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WASH cluster team will look at solutions with the members to </w:t>
      </w:r>
      <w:r w:rsidR="00F66B57">
        <w:rPr>
          <w:rFonts w:ascii="Arial" w:hAnsi="Arial" w:cs="Arial"/>
          <w:sz w:val="24"/>
          <w:szCs w:val="24"/>
        </w:rPr>
        <w:t>address the WASH needs that have been identified through this WASH assessment have</w:t>
      </w:r>
    </w:p>
    <w:p w14:paraId="4B5FE672" w14:textId="1215A9F9" w:rsidR="004452C9" w:rsidRDefault="004452C9" w:rsidP="004452C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9187623" w14:textId="77777777" w:rsidR="004452C9" w:rsidRDefault="004452C9" w:rsidP="004452C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A78E491" w14:textId="77777777" w:rsidR="004452C9" w:rsidRDefault="004452C9" w:rsidP="004452C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47606FB" w14:textId="77777777" w:rsidR="002200AA" w:rsidRDefault="002200AA" w:rsidP="004452C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EF6C53D" w14:textId="77777777" w:rsidR="002200AA" w:rsidRDefault="002200AA" w:rsidP="004452C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F6781AF" w14:textId="34F94B53" w:rsidR="0097385C" w:rsidRPr="005913A1" w:rsidRDefault="0097385C" w:rsidP="0097385C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>4W highlight</w:t>
      </w:r>
    </w:p>
    <w:p w14:paraId="5ACB6EFD" w14:textId="79B9B2C9" w:rsidR="0097385C" w:rsidRPr="00566A0D" w:rsidRDefault="0097385C" w:rsidP="0097385C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6A0D">
        <w:rPr>
          <w:rFonts w:ascii="Arial" w:hAnsi="Arial" w:cs="Arial"/>
          <w:b/>
          <w:sz w:val="24"/>
          <w:szCs w:val="24"/>
          <w:u w:val="single"/>
        </w:rPr>
        <w:t xml:space="preserve">WASH </w:t>
      </w:r>
      <w:r w:rsidR="002B05BF">
        <w:rPr>
          <w:rFonts w:ascii="Arial" w:hAnsi="Arial" w:cs="Arial"/>
          <w:b/>
          <w:sz w:val="24"/>
          <w:szCs w:val="24"/>
          <w:u w:val="single"/>
        </w:rPr>
        <w:t>actor</w:t>
      </w:r>
      <w:r w:rsidR="00566A0D" w:rsidRPr="00566A0D">
        <w:rPr>
          <w:rFonts w:ascii="Arial" w:hAnsi="Arial" w:cs="Arial"/>
          <w:b/>
          <w:sz w:val="24"/>
          <w:szCs w:val="24"/>
          <w:u w:val="single"/>
        </w:rPr>
        <w:t>s</w:t>
      </w:r>
      <w:r w:rsidR="002B05BF">
        <w:rPr>
          <w:rFonts w:ascii="Arial" w:hAnsi="Arial" w:cs="Arial"/>
          <w:b/>
          <w:sz w:val="24"/>
          <w:szCs w:val="24"/>
          <w:u w:val="single"/>
        </w:rPr>
        <w:t>’</w:t>
      </w:r>
      <w:r w:rsidRPr="00566A0D">
        <w:rPr>
          <w:rFonts w:ascii="Arial" w:hAnsi="Arial" w:cs="Arial"/>
          <w:b/>
          <w:sz w:val="24"/>
          <w:szCs w:val="24"/>
          <w:u w:val="single"/>
        </w:rPr>
        <w:t xml:space="preserve"> presence</w:t>
      </w:r>
    </w:p>
    <w:p w14:paraId="61E842C6" w14:textId="42FFF290" w:rsidR="00566A0D" w:rsidRDefault="0097385C" w:rsidP="00566A0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4W for April, </w:t>
      </w:r>
      <w:r w:rsidRPr="0097385C">
        <w:rPr>
          <w:rFonts w:ascii="Arial" w:hAnsi="Arial" w:cs="Arial"/>
          <w:sz w:val="24"/>
          <w:szCs w:val="24"/>
        </w:rPr>
        <w:t xml:space="preserve">55 camps </w:t>
      </w:r>
      <w:r>
        <w:rPr>
          <w:rFonts w:ascii="Arial" w:hAnsi="Arial" w:cs="Arial"/>
          <w:sz w:val="24"/>
          <w:szCs w:val="24"/>
        </w:rPr>
        <w:t xml:space="preserve">out of a total of 155 </w:t>
      </w:r>
      <w:r w:rsidRPr="0097385C">
        <w:rPr>
          <w:rFonts w:ascii="Arial" w:hAnsi="Arial" w:cs="Arial"/>
          <w:sz w:val="24"/>
          <w:szCs w:val="24"/>
        </w:rPr>
        <w:t>(35%)</w:t>
      </w:r>
      <w:r>
        <w:rPr>
          <w:rFonts w:ascii="Arial" w:hAnsi="Arial" w:cs="Arial"/>
          <w:sz w:val="24"/>
          <w:szCs w:val="24"/>
        </w:rPr>
        <w:t xml:space="preserve"> are </w:t>
      </w:r>
      <w:r w:rsidRPr="0097385C">
        <w:rPr>
          <w:rFonts w:ascii="Arial" w:hAnsi="Arial" w:cs="Arial"/>
          <w:sz w:val="24"/>
          <w:szCs w:val="24"/>
        </w:rPr>
        <w:t xml:space="preserve">not currently targeted by </w:t>
      </w:r>
      <w:r>
        <w:rPr>
          <w:rFonts w:ascii="Arial" w:hAnsi="Arial" w:cs="Arial"/>
          <w:sz w:val="24"/>
          <w:szCs w:val="24"/>
        </w:rPr>
        <w:t xml:space="preserve">the </w:t>
      </w:r>
      <w:r w:rsidRPr="0097385C">
        <w:rPr>
          <w:rFonts w:ascii="Arial" w:hAnsi="Arial" w:cs="Arial"/>
          <w:sz w:val="24"/>
          <w:szCs w:val="24"/>
        </w:rPr>
        <w:t>WASH Focal agencies</w:t>
      </w:r>
      <w:r>
        <w:rPr>
          <w:rFonts w:ascii="Arial" w:hAnsi="Arial" w:cs="Arial"/>
          <w:sz w:val="24"/>
          <w:szCs w:val="24"/>
        </w:rPr>
        <w:t xml:space="preserve">. These 55 not targeted IDPs camps host </w:t>
      </w:r>
      <w:r w:rsidRPr="0097385C">
        <w:rPr>
          <w:rFonts w:ascii="Arial" w:hAnsi="Arial" w:cs="Arial"/>
          <w:sz w:val="24"/>
          <w:szCs w:val="24"/>
        </w:rPr>
        <w:t xml:space="preserve">18090 IDPs </w:t>
      </w:r>
      <w:r>
        <w:rPr>
          <w:rFonts w:ascii="Arial" w:hAnsi="Arial" w:cs="Arial"/>
          <w:sz w:val="24"/>
          <w:szCs w:val="24"/>
        </w:rPr>
        <w:t>out of a total o</w:t>
      </w:r>
      <w:r w:rsidRPr="0097385C">
        <w:rPr>
          <w:rFonts w:ascii="Arial" w:hAnsi="Arial" w:cs="Arial"/>
          <w:sz w:val="24"/>
          <w:szCs w:val="24"/>
        </w:rPr>
        <w:t xml:space="preserve">f 74001 </w:t>
      </w:r>
      <w:r>
        <w:rPr>
          <w:rFonts w:ascii="Arial" w:hAnsi="Arial" w:cs="Arial"/>
          <w:sz w:val="24"/>
          <w:szCs w:val="24"/>
        </w:rPr>
        <w:t xml:space="preserve">IDPs </w:t>
      </w:r>
      <w:r w:rsidRPr="0097385C">
        <w:rPr>
          <w:rFonts w:ascii="Arial" w:hAnsi="Arial" w:cs="Arial"/>
          <w:sz w:val="24"/>
          <w:szCs w:val="24"/>
        </w:rPr>
        <w:t>(24%)</w:t>
      </w:r>
      <w:r>
        <w:rPr>
          <w:rFonts w:ascii="Arial" w:hAnsi="Arial" w:cs="Arial"/>
          <w:sz w:val="24"/>
          <w:szCs w:val="24"/>
        </w:rPr>
        <w:t xml:space="preserve">. </w:t>
      </w:r>
      <w:r w:rsidR="00566A0D">
        <w:rPr>
          <w:rFonts w:ascii="Arial" w:hAnsi="Arial" w:cs="Arial"/>
          <w:sz w:val="24"/>
          <w:szCs w:val="24"/>
        </w:rPr>
        <w:t xml:space="preserve">More than half of the </w:t>
      </w:r>
      <w:r w:rsidR="002B05BF">
        <w:rPr>
          <w:rFonts w:ascii="Arial" w:hAnsi="Arial" w:cs="Arial"/>
          <w:sz w:val="24"/>
          <w:szCs w:val="24"/>
        </w:rPr>
        <w:t>non-WASH</w:t>
      </w:r>
      <w:r w:rsidR="00566A0D">
        <w:rPr>
          <w:rFonts w:ascii="Arial" w:hAnsi="Arial" w:cs="Arial"/>
          <w:sz w:val="24"/>
          <w:szCs w:val="24"/>
        </w:rPr>
        <w:t xml:space="preserve"> targeted IDPs camps are located in </w:t>
      </w:r>
      <w:proofErr w:type="spellStart"/>
      <w:r w:rsidR="00566A0D">
        <w:rPr>
          <w:rFonts w:ascii="Arial" w:hAnsi="Arial" w:cs="Arial"/>
          <w:sz w:val="24"/>
          <w:szCs w:val="24"/>
        </w:rPr>
        <w:t>Hpakant</w:t>
      </w:r>
      <w:proofErr w:type="spellEnd"/>
      <w:r w:rsidR="00566A0D">
        <w:rPr>
          <w:rFonts w:ascii="Arial" w:hAnsi="Arial" w:cs="Arial"/>
          <w:sz w:val="24"/>
          <w:szCs w:val="24"/>
        </w:rPr>
        <w:t xml:space="preserve"> area</w:t>
      </w:r>
      <w:r w:rsidR="002B05BF">
        <w:rPr>
          <w:rFonts w:ascii="Arial" w:hAnsi="Arial" w:cs="Arial"/>
          <w:sz w:val="24"/>
          <w:szCs w:val="24"/>
        </w:rPr>
        <w:t>.</w:t>
      </w:r>
      <w:r w:rsidR="00566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case of no new additional </w:t>
      </w:r>
      <w:r w:rsidR="00566A0D">
        <w:rPr>
          <w:rFonts w:ascii="Arial" w:hAnsi="Arial" w:cs="Arial"/>
          <w:sz w:val="24"/>
          <w:szCs w:val="24"/>
        </w:rPr>
        <w:t>funding for the coming months, the number of not targeted camps will raise to 73 in May and 119 in June.</w:t>
      </w:r>
    </w:p>
    <w:p w14:paraId="0BF9B152" w14:textId="77777777" w:rsidR="002200AA" w:rsidRDefault="002200AA" w:rsidP="00566A0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0796CBC" w14:textId="77777777" w:rsidR="00566A0D" w:rsidRDefault="00566A0D" w:rsidP="00566A0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66A0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FE7F9D" wp14:editId="7ABE23CB">
            <wp:extent cx="3733800" cy="2070100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144985" w14:textId="77777777" w:rsidR="002200AA" w:rsidRDefault="002200AA" w:rsidP="00566A0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595975B" w14:textId="5F3CE153" w:rsidR="0066219D" w:rsidRDefault="00210BB0" w:rsidP="00D108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66A0D">
        <w:rPr>
          <w:rFonts w:ascii="Arial" w:hAnsi="Arial" w:cs="Arial"/>
          <w:sz w:val="24"/>
          <w:szCs w:val="24"/>
        </w:rPr>
        <w:t xml:space="preserve">he ongoing development proposal from WASH agencies should </w:t>
      </w:r>
      <w:r w:rsidR="009E3CD2">
        <w:rPr>
          <w:rFonts w:ascii="Arial" w:hAnsi="Arial" w:cs="Arial"/>
          <w:sz w:val="24"/>
          <w:szCs w:val="24"/>
        </w:rPr>
        <w:t xml:space="preserve">however </w:t>
      </w:r>
      <w:r w:rsidR="00566A0D">
        <w:rPr>
          <w:rFonts w:ascii="Arial" w:hAnsi="Arial" w:cs="Arial"/>
          <w:sz w:val="24"/>
          <w:szCs w:val="24"/>
        </w:rPr>
        <w:t xml:space="preserve">enable to </w:t>
      </w:r>
      <w:r w:rsidR="002B05BF">
        <w:rPr>
          <w:rFonts w:ascii="Arial" w:hAnsi="Arial" w:cs="Arial"/>
          <w:sz w:val="24"/>
          <w:szCs w:val="24"/>
        </w:rPr>
        <w:t>maintain and even increase the WASH actors’ pr</w:t>
      </w:r>
      <w:r>
        <w:rPr>
          <w:rFonts w:ascii="Arial" w:hAnsi="Arial" w:cs="Arial"/>
          <w:sz w:val="24"/>
          <w:szCs w:val="24"/>
        </w:rPr>
        <w:t>esence for the following months.</w:t>
      </w:r>
    </w:p>
    <w:p w14:paraId="5E5A0EE1" w14:textId="77777777" w:rsidR="00210BB0" w:rsidRDefault="00210BB0" w:rsidP="00D1083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4FA2636" w14:textId="6072DD3A" w:rsidR="000239CB" w:rsidRPr="00363B6B" w:rsidRDefault="00BE7128" w:rsidP="00363B6B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IDPs camps</w:t>
      </w:r>
      <w:r w:rsidR="002200AA" w:rsidRPr="00363B6B">
        <w:rPr>
          <w:rFonts w:ascii="Arial" w:hAnsi="Arial" w:cs="Arial"/>
          <w:b/>
          <w:sz w:val="24"/>
          <w:szCs w:val="24"/>
          <w:u w:val="single"/>
        </w:rPr>
        <w:t xml:space="preserve"> size</w:t>
      </w:r>
      <w:r>
        <w:rPr>
          <w:rFonts w:ascii="Arial" w:hAnsi="Arial" w:cs="Arial"/>
          <w:b/>
          <w:sz w:val="24"/>
          <w:szCs w:val="24"/>
          <w:u w:val="single"/>
        </w:rPr>
        <w:t xml:space="preserve"> and WASH coverage</w:t>
      </w:r>
    </w:p>
    <w:p w14:paraId="3B98DC01" w14:textId="7D639556" w:rsidR="000239CB" w:rsidRDefault="00810436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the April 4W, t</w:t>
      </w:r>
      <w:r w:rsidR="00691FC1">
        <w:rPr>
          <w:rFonts w:ascii="Arial" w:hAnsi="Arial" w:cs="Arial"/>
          <w:sz w:val="24"/>
          <w:szCs w:val="24"/>
        </w:rPr>
        <w:t>here are 71</w:t>
      </w:r>
      <w:r w:rsidR="00363B6B">
        <w:rPr>
          <w:rFonts w:ascii="Arial" w:hAnsi="Arial" w:cs="Arial"/>
          <w:sz w:val="24"/>
          <w:szCs w:val="24"/>
        </w:rPr>
        <w:t xml:space="preserve"> IDPs camps out of a total of 15</w:t>
      </w:r>
      <w:r w:rsidR="00691FC1">
        <w:rPr>
          <w:rFonts w:ascii="Arial" w:hAnsi="Arial" w:cs="Arial"/>
          <w:sz w:val="24"/>
          <w:szCs w:val="24"/>
        </w:rPr>
        <w:t>3 (46</w:t>
      </w:r>
      <w:r w:rsidR="00363B6B">
        <w:rPr>
          <w:rFonts w:ascii="Arial" w:hAnsi="Arial" w:cs="Arial"/>
          <w:sz w:val="24"/>
          <w:szCs w:val="24"/>
        </w:rPr>
        <w:t>%) in</w:t>
      </w:r>
      <w:r w:rsidR="007643E8">
        <w:rPr>
          <w:rFonts w:ascii="Arial" w:hAnsi="Arial" w:cs="Arial"/>
          <w:sz w:val="24"/>
          <w:szCs w:val="24"/>
        </w:rPr>
        <w:t xml:space="preserve"> Kachin and NSS</w:t>
      </w:r>
      <w:r w:rsidR="00363B6B">
        <w:rPr>
          <w:rFonts w:ascii="Arial" w:hAnsi="Arial" w:cs="Arial"/>
          <w:sz w:val="24"/>
          <w:szCs w:val="24"/>
        </w:rPr>
        <w:t xml:space="preserve"> with less than</w:t>
      </w:r>
      <w:r w:rsidR="007643E8">
        <w:rPr>
          <w:rFonts w:ascii="Arial" w:hAnsi="Arial" w:cs="Arial"/>
          <w:sz w:val="24"/>
          <w:szCs w:val="24"/>
        </w:rPr>
        <w:t xml:space="preserve"> 50 Househ</w:t>
      </w:r>
      <w:r w:rsidR="00363B6B">
        <w:rPr>
          <w:rFonts w:ascii="Arial" w:hAnsi="Arial" w:cs="Arial"/>
          <w:sz w:val="24"/>
          <w:szCs w:val="24"/>
        </w:rPr>
        <w:t>olds. These 7</w:t>
      </w:r>
      <w:r w:rsidR="00691FC1">
        <w:rPr>
          <w:rFonts w:ascii="Arial" w:hAnsi="Arial" w:cs="Arial"/>
          <w:sz w:val="24"/>
          <w:szCs w:val="24"/>
        </w:rPr>
        <w:t>1 camps host 7987</w:t>
      </w:r>
      <w:r w:rsidR="00EE3658">
        <w:rPr>
          <w:rFonts w:ascii="Arial" w:hAnsi="Arial" w:cs="Arial"/>
          <w:sz w:val="24"/>
          <w:szCs w:val="24"/>
        </w:rPr>
        <w:t xml:space="preserve"> IDPs that means “only” </w:t>
      </w:r>
      <w:r w:rsidR="00363B6B">
        <w:rPr>
          <w:rFonts w:ascii="Arial" w:hAnsi="Arial" w:cs="Arial"/>
          <w:sz w:val="24"/>
          <w:szCs w:val="24"/>
        </w:rPr>
        <w:t>10% of the total IDPs in Kachin and NSS</w:t>
      </w:r>
      <w:r w:rsidR="00691FC1">
        <w:rPr>
          <w:rFonts w:ascii="Arial" w:hAnsi="Arial" w:cs="Arial"/>
          <w:sz w:val="24"/>
          <w:szCs w:val="24"/>
        </w:rPr>
        <w:t>. The quasi totality of these camps are located in GCAs</w:t>
      </w:r>
    </w:p>
    <w:p w14:paraId="5319C955" w14:textId="346F638F" w:rsidR="00810436" w:rsidRDefault="0047222B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WASH coverage in these camps in April 2015 are provided below</w:t>
      </w:r>
      <w:r w:rsidR="00691FC1">
        <w:rPr>
          <w:rFonts w:ascii="Arial" w:hAnsi="Arial" w:cs="Arial"/>
          <w:sz w:val="24"/>
          <w:szCs w:val="24"/>
        </w:rPr>
        <w:t>.</w:t>
      </w:r>
    </w:p>
    <w:p w14:paraId="7EA97B88" w14:textId="3AA5B9AE" w:rsidR="00810436" w:rsidRDefault="00AC70B5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D12367" wp14:editId="04318587">
            <wp:extent cx="5589638" cy="2654709"/>
            <wp:effectExtent l="57150" t="76200" r="125730" b="1270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F949A1" w14:textId="69A66478" w:rsidR="0073647D" w:rsidRDefault="0047222B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both water, latrines and bathroom coverage, the small IDPs camps appear to be the ones with the best coverage o</w:t>
      </w:r>
      <w:r w:rsidR="00660758">
        <w:rPr>
          <w:rFonts w:ascii="Arial" w:hAnsi="Arial" w:cs="Arial"/>
          <w:sz w:val="24"/>
          <w:szCs w:val="24"/>
        </w:rPr>
        <w:t>f WASH facilities.  The small size of these IDPs</w:t>
      </w:r>
      <w:r w:rsidR="00691FC1">
        <w:rPr>
          <w:rFonts w:ascii="Arial" w:hAnsi="Arial" w:cs="Arial"/>
          <w:sz w:val="24"/>
          <w:szCs w:val="24"/>
        </w:rPr>
        <w:t xml:space="preserve"> camps contribute</w:t>
      </w:r>
      <w:r w:rsidR="005437BE">
        <w:rPr>
          <w:rFonts w:ascii="Arial" w:hAnsi="Arial" w:cs="Arial"/>
          <w:sz w:val="24"/>
          <w:szCs w:val="24"/>
        </w:rPr>
        <w:t>s</w:t>
      </w:r>
      <w:r w:rsidR="00691FC1">
        <w:rPr>
          <w:rFonts w:ascii="Arial" w:hAnsi="Arial" w:cs="Arial"/>
          <w:sz w:val="24"/>
          <w:szCs w:val="24"/>
        </w:rPr>
        <w:t xml:space="preserve"> to facilitate the proper coverage of WASH facilities. Given this high WASH facilities coverage, it is crucial at this stage to empower </w:t>
      </w:r>
      <w:r w:rsidR="005437BE">
        <w:rPr>
          <w:rFonts w:ascii="Arial" w:hAnsi="Arial" w:cs="Arial"/>
          <w:sz w:val="24"/>
          <w:szCs w:val="24"/>
        </w:rPr>
        <w:t xml:space="preserve">these small scale </w:t>
      </w:r>
      <w:r w:rsidR="005437BE">
        <w:rPr>
          <w:rFonts w:ascii="Arial" w:hAnsi="Arial" w:cs="Arial"/>
          <w:sz w:val="24"/>
          <w:szCs w:val="24"/>
        </w:rPr>
        <w:t xml:space="preserve">IDP </w:t>
      </w:r>
      <w:r w:rsidR="00691FC1">
        <w:rPr>
          <w:rFonts w:ascii="Arial" w:hAnsi="Arial" w:cs="Arial"/>
          <w:sz w:val="24"/>
          <w:szCs w:val="24"/>
        </w:rPr>
        <w:t xml:space="preserve">communities with WASH </w:t>
      </w:r>
      <w:r w:rsidR="005437BE">
        <w:rPr>
          <w:rFonts w:ascii="Arial" w:hAnsi="Arial" w:cs="Arial"/>
          <w:sz w:val="24"/>
          <w:szCs w:val="24"/>
        </w:rPr>
        <w:t>issues in order t</w:t>
      </w:r>
      <w:r w:rsidR="00691FC1">
        <w:rPr>
          <w:rFonts w:ascii="Arial" w:hAnsi="Arial" w:cs="Arial"/>
          <w:sz w:val="24"/>
          <w:szCs w:val="24"/>
        </w:rPr>
        <w:t>o increase the</w:t>
      </w:r>
      <w:r w:rsidR="005437BE">
        <w:rPr>
          <w:rFonts w:ascii="Arial" w:hAnsi="Arial" w:cs="Arial"/>
          <w:sz w:val="24"/>
          <w:szCs w:val="24"/>
        </w:rPr>
        <w:t xml:space="preserve">ir self-reliance and to concentrate Humanitarian efforts on remaining needs </w:t>
      </w:r>
      <w:proofErr w:type="gramStart"/>
      <w:r w:rsidR="005437BE">
        <w:rPr>
          <w:rFonts w:ascii="Arial" w:hAnsi="Arial" w:cs="Arial"/>
          <w:sz w:val="24"/>
          <w:szCs w:val="24"/>
        </w:rPr>
        <w:t>in  bigger</w:t>
      </w:r>
      <w:proofErr w:type="gramEnd"/>
      <w:r w:rsidR="005437BE">
        <w:rPr>
          <w:rFonts w:ascii="Arial" w:hAnsi="Arial" w:cs="Arial"/>
          <w:sz w:val="24"/>
          <w:szCs w:val="24"/>
        </w:rPr>
        <w:t xml:space="preserve"> IDPs camps.</w:t>
      </w:r>
    </w:p>
    <w:p w14:paraId="0FB3A626" w14:textId="77777777" w:rsidR="0073647D" w:rsidRDefault="0073647D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F83EEC" w14:textId="1892D40E" w:rsidR="00C85BF6" w:rsidRDefault="00BE7128" w:rsidP="000239C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128">
        <w:rPr>
          <w:rFonts w:ascii="Arial" w:hAnsi="Arial" w:cs="Arial"/>
          <w:b/>
          <w:sz w:val="24"/>
          <w:szCs w:val="24"/>
          <w:u w:val="single"/>
        </w:rPr>
        <w:t>Basic HKs coverage</w:t>
      </w:r>
    </w:p>
    <w:p w14:paraId="56C63467" w14:textId="6464C18D" w:rsidR="0085644A" w:rsidRDefault="0085644A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44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below graphs provides the situation in terms of HK coverage in Kachin and NSS. The overall coverage of HKs in April was 67%. The main gaps are located in North Shan and North Kachin. Some of the gaps highlighted in this graph will be addressed in May and following months.</w:t>
      </w:r>
    </w:p>
    <w:p w14:paraId="08623117" w14:textId="77777777" w:rsidR="00C94DDB" w:rsidRDefault="00C94DDB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D52804" w14:textId="0E58A728" w:rsidR="0085644A" w:rsidRDefault="00C94DDB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1150DE" wp14:editId="302ED70B">
            <wp:extent cx="4852219" cy="2403987"/>
            <wp:effectExtent l="57150" t="95250" r="139065" b="920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AAB86E" w14:textId="0D212A89" w:rsidR="00BE7128" w:rsidRPr="00BE7128" w:rsidRDefault="00BE7128" w:rsidP="000239C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128">
        <w:rPr>
          <w:rFonts w:ascii="Arial" w:hAnsi="Arial" w:cs="Arial"/>
          <w:b/>
          <w:sz w:val="24"/>
          <w:szCs w:val="24"/>
          <w:u w:val="single"/>
        </w:rPr>
        <w:lastRenderedPageBreak/>
        <w:t>Semi-permanent latrines needs</w:t>
      </w:r>
    </w:p>
    <w:p w14:paraId="55BE05B3" w14:textId="77777777" w:rsidR="007B5B86" w:rsidRDefault="007B5B86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C11833" w14:textId="22DA36A4" w:rsidR="00E65BE8" w:rsidRDefault="00E65BE8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graph below provides the semi permanents latrines needs (source 4W) </w:t>
      </w:r>
      <w:r w:rsidR="00776B5E">
        <w:rPr>
          <w:rFonts w:ascii="Arial" w:hAnsi="Arial" w:cs="Arial"/>
          <w:sz w:val="24"/>
          <w:szCs w:val="24"/>
        </w:rPr>
        <w:t>over the last years.</w:t>
      </w:r>
    </w:p>
    <w:p w14:paraId="4DBC09F6" w14:textId="77777777" w:rsidR="00E65BE8" w:rsidRDefault="00E65BE8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F0DFE8" w14:textId="64D4D647" w:rsidR="0073647D" w:rsidRDefault="00657D24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60E181" wp14:editId="5BB9AF85">
            <wp:extent cx="5678129" cy="36616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60" cy="366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2044A" w14:textId="77777777" w:rsidR="00C94DDB" w:rsidRDefault="00C94DDB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23971C" w14:textId="0133F067" w:rsidR="00657D24" w:rsidRDefault="00657D24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76B5E">
        <w:rPr>
          <w:rFonts w:ascii="Arial" w:hAnsi="Arial" w:cs="Arial"/>
          <w:sz w:val="24"/>
          <w:szCs w:val="24"/>
        </w:rPr>
        <w:t xml:space="preserve">ignificant progress in the semi-permanent latrines </w:t>
      </w:r>
      <w:r w:rsidR="000F76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overage has to be done since September 2013, </w:t>
      </w:r>
      <w:r w:rsidR="0085644A">
        <w:rPr>
          <w:rFonts w:ascii="Arial" w:hAnsi="Arial" w:cs="Arial"/>
          <w:sz w:val="24"/>
          <w:szCs w:val="24"/>
        </w:rPr>
        <w:t xml:space="preserve">and the </w:t>
      </w:r>
      <w:r>
        <w:rPr>
          <w:rFonts w:ascii="Arial" w:hAnsi="Arial" w:cs="Arial"/>
          <w:sz w:val="24"/>
          <w:szCs w:val="24"/>
        </w:rPr>
        <w:t>number of semi-permanent latrines needed dropped from 3085 in September 2013 to 1761 in April 2015.</w:t>
      </w:r>
      <w:r w:rsidRPr="00657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New mall scale emergencies </w:t>
      </w:r>
      <w:r>
        <w:rPr>
          <w:rFonts w:ascii="Arial" w:hAnsi="Arial" w:cs="Arial"/>
          <w:sz w:val="24"/>
          <w:szCs w:val="24"/>
        </w:rPr>
        <w:t>and their related construction of emergencies facilities contribute</w:t>
      </w:r>
      <w:r w:rsidR="00C94DD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increase the number of se</w:t>
      </w:r>
      <w:r w:rsidR="00C94DDB">
        <w:rPr>
          <w:rFonts w:ascii="Arial" w:hAnsi="Arial" w:cs="Arial"/>
          <w:sz w:val="24"/>
          <w:szCs w:val="24"/>
        </w:rPr>
        <w:t>mi-</w:t>
      </w:r>
      <w:r>
        <w:rPr>
          <w:rFonts w:ascii="Arial" w:hAnsi="Arial" w:cs="Arial"/>
          <w:sz w:val="24"/>
          <w:szCs w:val="24"/>
        </w:rPr>
        <w:t>permanent latrine needs</w:t>
      </w:r>
      <w:r w:rsidR="00C85BF6">
        <w:rPr>
          <w:rFonts w:ascii="Arial" w:hAnsi="Arial" w:cs="Arial"/>
          <w:sz w:val="24"/>
          <w:szCs w:val="24"/>
        </w:rPr>
        <w:t xml:space="preserve">. This graph shows </w:t>
      </w:r>
      <w:r w:rsidR="0085644A">
        <w:rPr>
          <w:rFonts w:ascii="Arial" w:hAnsi="Arial" w:cs="Arial"/>
          <w:sz w:val="24"/>
          <w:szCs w:val="24"/>
        </w:rPr>
        <w:t xml:space="preserve">a </w:t>
      </w:r>
      <w:r w:rsidR="000F76CF"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>ear slowdown</w:t>
      </w:r>
      <w:r w:rsidR="000F76CF">
        <w:rPr>
          <w:rFonts w:ascii="Arial" w:hAnsi="Arial" w:cs="Arial"/>
          <w:sz w:val="24"/>
          <w:szCs w:val="24"/>
        </w:rPr>
        <w:t xml:space="preserve"> of the progress over</w:t>
      </w:r>
      <w:r>
        <w:rPr>
          <w:rFonts w:ascii="Arial" w:hAnsi="Arial" w:cs="Arial"/>
          <w:sz w:val="24"/>
          <w:szCs w:val="24"/>
        </w:rPr>
        <w:t xml:space="preserve"> the last months </w:t>
      </w:r>
      <w:r w:rsidR="00C85BF6">
        <w:rPr>
          <w:rFonts w:ascii="Arial" w:hAnsi="Arial" w:cs="Arial"/>
          <w:sz w:val="24"/>
          <w:szCs w:val="24"/>
        </w:rPr>
        <w:t>an</w:t>
      </w:r>
      <w:r w:rsidR="0085644A">
        <w:rPr>
          <w:rFonts w:ascii="Arial" w:hAnsi="Arial" w:cs="Arial"/>
          <w:sz w:val="24"/>
          <w:szCs w:val="24"/>
        </w:rPr>
        <w:t>d reveals the limits</w:t>
      </w:r>
      <w:r w:rsidR="00C94DDB">
        <w:rPr>
          <w:rFonts w:ascii="Arial" w:hAnsi="Arial" w:cs="Arial"/>
          <w:sz w:val="24"/>
          <w:szCs w:val="24"/>
        </w:rPr>
        <w:t xml:space="preserve"> of semi permanents latrine construction. </w:t>
      </w:r>
      <w:r w:rsidR="009E3CD2">
        <w:rPr>
          <w:rFonts w:ascii="Arial" w:hAnsi="Arial" w:cs="Arial"/>
          <w:sz w:val="24"/>
          <w:szCs w:val="24"/>
        </w:rPr>
        <w:t>The</w:t>
      </w:r>
      <w:r w:rsidR="00C94DDB">
        <w:rPr>
          <w:rFonts w:ascii="Arial" w:hAnsi="Arial" w:cs="Arial"/>
          <w:sz w:val="24"/>
          <w:szCs w:val="24"/>
        </w:rPr>
        <w:t xml:space="preserve"> graph</w:t>
      </w:r>
      <w:r w:rsidR="009E3CD2">
        <w:rPr>
          <w:rFonts w:ascii="Arial" w:hAnsi="Arial" w:cs="Arial"/>
          <w:sz w:val="24"/>
          <w:szCs w:val="24"/>
        </w:rPr>
        <w:t xml:space="preserve"> below</w:t>
      </w:r>
      <w:r w:rsidR="00C94DDB">
        <w:rPr>
          <w:rFonts w:ascii="Arial" w:hAnsi="Arial" w:cs="Arial"/>
          <w:sz w:val="24"/>
          <w:szCs w:val="24"/>
        </w:rPr>
        <w:t xml:space="preserve"> provide</w:t>
      </w:r>
      <w:r w:rsidR="009E3CD2">
        <w:rPr>
          <w:rFonts w:ascii="Arial" w:hAnsi="Arial" w:cs="Arial"/>
          <w:sz w:val="24"/>
          <w:szCs w:val="24"/>
        </w:rPr>
        <w:t>s</w:t>
      </w:r>
      <w:r w:rsidR="00C94DDB">
        <w:rPr>
          <w:rFonts w:ascii="Arial" w:hAnsi="Arial" w:cs="Arial"/>
          <w:sz w:val="24"/>
          <w:szCs w:val="24"/>
        </w:rPr>
        <w:t xml:space="preserve"> the theoretical remaining needs of </w:t>
      </w:r>
      <w:proofErr w:type="spellStart"/>
      <w:r w:rsidR="00C94DDB">
        <w:rPr>
          <w:rFonts w:ascii="Arial" w:hAnsi="Arial" w:cs="Arial"/>
          <w:sz w:val="24"/>
          <w:szCs w:val="24"/>
        </w:rPr>
        <w:t>semi permanent</w:t>
      </w:r>
      <w:proofErr w:type="spellEnd"/>
      <w:r w:rsidR="00C94DDB">
        <w:rPr>
          <w:rFonts w:ascii="Arial" w:hAnsi="Arial" w:cs="Arial"/>
          <w:sz w:val="24"/>
          <w:szCs w:val="24"/>
        </w:rPr>
        <w:t xml:space="preserve"> latrines per township (Source 4W)</w:t>
      </w:r>
    </w:p>
    <w:p w14:paraId="50FAF981" w14:textId="77777777" w:rsidR="007D12D2" w:rsidRDefault="007D12D2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42A62D" w14:textId="77777777" w:rsidR="007D12D2" w:rsidRDefault="007D12D2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629F98" w14:textId="146416C1" w:rsidR="007D12D2" w:rsidRDefault="000F76CF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C99499" wp14:editId="5AAB0D6B">
            <wp:extent cx="6343650" cy="4241800"/>
            <wp:effectExtent l="57150" t="57150" r="114300" b="1206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9164CF" w14:textId="77777777" w:rsidR="007D12D2" w:rsidRDefault="007D12D2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22BFC" w14:textId="651F6855" w:rsidR="00C543C4" w:rsidRDefault="00C94DDB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township</w:t>
      </w:r>
      <w:r w:rsidR="00A441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where needs for semi permanents latrines remain </w:t>
      </w:r>
      <w:r w:rsidR="00A44159">
        <w:rPr>
          <w:rFonts w:ascii="Arial" w:hAnsi="Arial" w:cs="Arial"/>
          <w:sz w:val="24"/>
          <w:szCs w:val="24"/>
        </w:rPr>
        <w:t xml:space="preserve">are </w:t>
      </w:r>
      <w:proofErr w:type="spellStart"/>
      <w:r>
        <w:rPr>
          <w:rFonts w:ascii="Arial" w:hAnsi="Arial" w:cs="Arial"/>
          <w:sz w:val="24"/>
          <w:szCs w:val="24"/>
        </w:rPr>
        <w:t>Mansi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Momauk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Waingmaw</w:t>
      </w:r>
      <w:proofErr w:type="spellEnd"/>
      <w:r>
        <w:rPr>
          <w:rFonts w:ascii="Arial" w:hAnsi="Arial" w:cs="Arial"/>
          <w:sz w:val="24"/>
          <w:szCs w:val="24"/>
        </w:rPr>
        <w:t>. These needs are estimated based on humanitarian standards of one latrine seat for 20 people. According to field monitoring carried out by the WASH cluster team</w:t>
      </w:r>
      <w:r w:rsidR="00A44159">
        <w:rPr>
          <w:rFonts w:ascii="Arial" w:hAnsi="Arial" w:cs="Arial"/>
          <w:sz w:val="24"/>
          <w:szCs w:val="24"/>
        </w:rPr>
        <w:t xml:space="preserve"> in GCA</w:t>
      </w:r>
      <w:r>
        <w:rPr>
          <w:rFonts w:ascii="Arial" w:hAnsi="Arial" w:cs="Arial"/>
          <w:sz w:val="24"/>
          <w:szCs w:val="24"/>
        </w:rPr>
        <w:t xml:space="preserve">, the real needs for semi permanents latrines construction appears to be </w:t>
      </w:r>
      <w:r w:rsidR="00C543C4">
        <w:rPr>
          <w:rFonts w:ascii="Arial" w:hAnsi="Arial" w:cs="Arial"/>
          <w:sz w:val="24"/>
          <w:szCs w:val="24"/>
        </w:rPr>
        <w:t>lesser.</w:t>
      </w:r>
      <w:r w:rsidR="00A4415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44159">
        <w:rPr>
          <w:rFonts w:ascii="Arial" w:hAnsi="Arial" w:cs="Arial"/>
          <w:sz w:val="24"/>
          <w:szCs w:val="24"/>
        </w:rPr>
        <w:t>Mansi</w:t>
      </w:r>
      <w:proofErr w:type="spellEnd"/>
      <w:r w:rsidR="00A4415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44159">
        <w:rPr>
          <w:rFonts w:ascii="Arial" w:hAnsi="Arial" w:cs="Arial"/>
          <w:sz w:val="24"/>
          <w:szCs w:val="24"/>
        </w:rPr>
        <w:t>Momauk</w:t>
      </w:r>
      <w:proofErr w:type="spellEnd"/>
      <w:r w:rsidR="00A44159">
        <w:rPr>
          <w:rFonts w:ascii="Arial" w:hAnsi="Arial" w:cs="Arial"/>
          <w:sz w:val="24"/>
          <w:szCs w:val="24"/>
        </w:rPr>
        <w:t xml:space="preserve"> townships, m</w:t>
      </w:r>
      <w:r w:rsidR="00C543C4">
        <w:rPr>
          <w:rFonts w:ascii="Arial" w:hAnsi="Arial" w:cs="Arial"/>
          <w:sz w:val="24"/>
          <w:szCs w:val="24"/>
        </w:rPr>
        <w:t xml:space="preserve">anagement issues, land availability, </w:t>
      </w:r>
      <w:r w:rsidR="00A44159">
        <w:rPr>
          <w:rFonts w:ascii="Arial" w:hAnsi="Arial" w:cs="Arial"/>
          <w:sz w:val="24"/>
          <w:szCs w:val="24"/>
        </w:rPr>
        <w:t xml:space="preserve">and </w:t>
      </w:r>
      <w:r w:rsidR="00C543C4">
        <w:rPr>
          <w:rFonts w:ascii="Arial" w:hAnsi="Arial" w:cs="Arial"/>
          <w:sz w:val="24"/>
          <w:szCs w:val="24"/>
        </w:rPr>
        <w:t xml:space="preserve">IDPs data </w:t>
      </w:r>
      <w:r w:rsidR="00A44159">
        <w:rPr>
          <w:rFonts w:ascii="Arial" w:hAnsi="Arial" w:cs="Arial"/>
          <w:sz w:val="24"/>
          <w:szCs w:val="24"/>
        </w:rPr>
        <w:t xml:space="preserve">issues needs to be taken into account beyond </w:t>
      </w:r>
      <w:r w:rsidR="009E3CD2">
        <w:rPr>
          <w:rFonts w:ascii="Arial" w:hAnsi="Arial" w:cs="Arial"/>
          <w:sz w:val="24"/>
          <w:szCs w:val="24"/>
        </w:rPr>
        <w:t>quantitative needs to estimate the real needs.</w:t>
      </w:r>
    </w:p>
    <w:p w14:paraId="2FB175B5" w14:textId="77777777" w:rsidR="00C543C4" w:rsidRDefault="00C543C4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2C87E" w14:textId="0EBC91FD" w:rsidR="00C94DDB" w:rsidRDefault="00C543C4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0578A9">
        <w:rPr>
          <w:rFonts w:ascii="Arial" w:hAnsi="Arial" w:cs="Arial"/>
          <w:sz w:val="24"/>
          <w:szCs w:val="24"/>
        </w:rPr>
        <w:t xml:space="preserve">NGCA </w:t>
      </w:r>
      <w:proofErr w:type="spellStart"/>
      <w:r>
        <w:rPr>
          <w:rFonts w:ascii="Arial" w:hAnsi="Arial" w:cs="Arial"/>
          <w:sz w:val="24"/>
          <w:szCs w:val="24"/>
        </w:rPr>
        <w:t>Waingmaw</w:t>
      </w:r>
      <w:proofErr w:type="spellEnd"/>
      <w:r>
        <w:rPr>
          <w:rFonts w:ascii="Arial" w:hAnsi="Arial" w:cs="Arial"/>
          <w:sz w:val="24"/>
          <w:szCs w:val="24"/>
        </w:rPr>
        <w:t xml:space="preserve"> township</w:t>
      </w:r>
      <w:r w:rsidR="000578A9">
        <w:rPr>
          <w:rFonts w:ascii="Arial" w:hAnsi="Arial" w:cs="Arial"/>
          <w:sz w:val="24"/>
          <w:szCs w:val="24"/>
        </w:rPr>
        <w:t xml:space="preserve">, discussions with WASH focal agencies </w:t>
      </w:r>
      <w:r w:rsidR="00774D71">
        <w:rPr>
          <w:rFonts w:ascii="Arial" w:hAnsi="Arial" w:cs="Arial"/>
          <w:sz w:val="24"/>
          <w:szCs w:val="24"/>
        </w:rPr>
        <w:t xml:space="preserve">enabled to </w:t>
      </w:r>
      <w:proofErr w:type="gramStart"/>
      <w:r w:rsidR="00774D71">
        <w:rPr>
          <w:rFonts w:ascii="Arial" w:hAnsi="Arial" w:cs="Arial"/>
          <w:sz w:val="24"/>
          <w:szCs w:val="24"/>
        </w:rPr>
        <w:t>highlight  challenging</w:t>
      </w:r>
      <w:proofErr w:type="gramEnd"/>
      <w:r w:rsidR="00774D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soil conditions</w:t>
      </w:r>
      <w:r w:rsidR="000578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high prices of construction material, land availability </w:t>
      </w:r>
      <w:r w:rsidR="000578A9">
        <w:rPr>
          <w:rFonts w:ascii="Arial" w:hAnsi="Arial" w:cs="Arial"/>
          <w:sz w:val="24"/>
          <w:szCs w:val="24"/>
        </w:rPr>
        <w:t xml:space="preserve">issues </w:t>
      </w:r>
      <w:r>
        <w:rPr>
          <w:rFonts w:ascii="Arial" w:hAnsi="Arial" w:cs="Arial"/>
          <w:sz w:val="24"/>
          <w:szCs w:val="24"/>
        </w:rPr>
        <w:t>and the absence of desludging solutions</w:t>
      </w:r>
      <w:r w:rsidR="000578A9">
        <w:rPr>
          <w:rFonts w:ascii="Arial" w:hAnsi="Arial" w:cs="Arial"/>
          <w:sz w:val="24"/>
          <w:szCs w:val="24"/>
        </w:rPr>
        <w:t xml:space="preserve">. Due to this combination of factors, humanitarian actors in NGCA don’t promote the construction of </w:t>
      </w:r>
      <w:r w:rsidR="00BC3873">
        <w:rPr>
          <w:rFonts w:ascii="Arial" w:hAnsi="Arial" w:cs="Arial"/>
          <w:sz w:val="24"/>
          <w:szCs w:val="24"/>
        </w:rPr>
        <w:t>semi-permanent</w:t>
      </w:r>
      <w:r w:rsidR="000578A9">
        <w:rPr>
          <w:rFonts w:ascii="Arial" w:hAnsi="Arial" w:cs="Arial"/>
          <w:sz w:val="24"/>
          <w:szCs w:val="24"/>
        </w:rPr>
        <w:t xml:space="preserve"> latrines construction.</w:t>
      </w:r>
    </w:p>
    <w:p w14:paraId="1717225A" w14:textId="77777777" w:rsidR="000578A9" w:rsidRDefault="000578A9" w:rsidP="000239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EAAC0" w14:textId="338F0402" w:rsidR="000578A9" w:rsidRDefault="000578A9" w:rsidP="00023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need of semi-permanents latrines </w:t>
      </w:r>
      <w:r w:rsidR="00BC3873">
        <w:rPr>
          <w:rFonts w:ascii="Arial" w:hAnsi="Arial" w:cs="Arial"/>
          <w:sz w:val="24"/>
          <w:szCs w:val="24"/>
        </w:rPr>
        <w:t>calculated in</w:t>
      </w:r>
      <w:r>
        <w:rPr>
          <w:rFonts w:ascii="Arial" w:hAnsi="Arial" w:cs="Arial"/>
          <w:sz w:val="24"/>
          <w:szCs w:val="24"/>
        </w:rPr>
        <w:t xml:space="preserve"> the 4w Matrix of April is 1761 in the documented IDPs camps of Kachin and NSS. </w:t>
      </w:r>
      <w:r w:rsidR="00F672B5">
        <w:rPr>
          <w:rFonts w:ascii="Arial" w:hAnsi="Arial" w:cs="Arial"/>
          <w:sz w:val="24"/>
          <w:szCs w:val="24"/>
        </w:rPr>
        <w:t xml:space="preserve">Based on all constraints preventing the construction of semi-permanent latrines, </w:t>
      </w:r>
      <w:r w:rsidR="00774D7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real</w:t>
      </w:r>
      <w:r w:rsidR="00F672B5">
        <w:rPr>
          <w:rFonts w:ascii="Arial" w:hAnsi="Arial" w:cs="Arial"/>
          <w:sz w:val="24"/>
          <w:szCs w:val="24"/>
        </w:rPr>
        <w:t xml:space="preserve"> needs </w:t>
      </w:r>
      <w:r w:rsidR="00774D71">
        <w:rPr>
          <w:rFonts w:ascii="Arial" w:hAnsi="Arial" w:cs="Arial"/>
          <w:sz w:val="24"/>
          <w:szCs w:val="24"/>
        </w:rPr>
        <w:t>can be estimated to</w:t>
      </w:r>
      <w:r w:rsidR="00F672B5">
        <w:rPr>
          <w:rFonts w:ascii="Arial" w:hAnsi="Arial" w:cs="Arial"/>
          <w:sz w:val="24"/>
          <w:szCs w:val="24"/>
        </w:rPr>
        <w:t xml:space="preserve"> around 300 latrines for Kachin and NSS cluster.</w:t>
      </w:r>
    </w:p>
    <w:p w14:paraId="286895CA" w14:textId="47D58C37" w:rsidR="00AA4941" w:rsidRDefault="00AA4941" w:rsidP="00D108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338DDC" w14:textId="3FF7A379" w:rsidR="00912400" w:rsidRPr="005913A1" w:rsidRDefault="00CD1E61" w:rsidP="00912400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>Other events</w:t>
      </w:r>
    </w:p>
    <w:p w14:paraId="212DABDE" w14:textId="5E215E6D" w:rsidR="00DE34A2" w:rsidRPr="005913A1" w:rsidRDefault="00DD79FA" w:rsidP="00DE34A2">
      <w:pPr>
        <w:spacing w:after="1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Capacity development</w:t>
      </w:r>
    </w:p>
    <w:p w14:paraId="55E77C2C" w14:textId="36E14ECD" w:rsidR="00253351" w:rsidRPr="00DD79FA" w:rsidRDefault="00DD79FA" w:rsidP="00DD79FA">
      <w:pPr>
        <w:pStyle w:val="ListParagraph"/>
        <w:numPr>
          <w:ilvl w:val="0"/>
          <w:numId w:val="6"/>
        </w:numPr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253351" w:rsidRPr="00DD79FA">
        <w:rPr>
          <w:rFonts w:cs="Arial"/>
          <w:sz w:val="24"/>
        </w:rPr>
        <w:t xml:space="preserve">3 days </w:t>
      </w:r>
      <w:r w:rsidRPr="00DD79FA">
        <w:rPr>
          <w:rFonts w:cs="Arial"/>
          <w:sz w:val="24"/>
        </w:rPr>
        <w:t>training</w:t>
      </w:r>
      <w:r>
        <w:rPr>
          <w:rFonts w:cs="Arial"/>
          <w:sz w:val="24"/>
        </w:rPr>
        <w:t xml:space="preserve"> in Myitkyina </w:t>
      </w:r>
      <w:r w:rsidR="00253351" w:rsidRPr="00DD79FA">
        <w:rPr>
          <w:rFonts w:cs="Arial"/>
          <w:sz w:val="24"/>
        </w:rPr>
        <w:t>on “Water Supply &amp; Sanitation in Emergency “</w:t>
      </w:r>
      <w:r>
        <w:rPr>
          <w:rFonts w:cs="Arial"/>
          <w:sz w:val="24"/>
        </w:rPr>
        <w:t xml:space="preserve"> has been organized by Oxfam with Emergency Respond Fund from </w:t>
      </w:r>
      <w:r w:rsidR="00253351" w:rsidRPr="00DD79FA">
        <w:rPr>
          <w:rFonts w:cs="Arial"/>
          <w:sz w:val="24"/>
        </w:rPr>
        <w:t xml:space="preserve">6th </w:t>
      </w:r>
      <w:r>
        <w:rPr>
          <w:rFonts w:cs="Arial"/>
          <w:sz w:val="24"/>
        </w:rPr>
        <w:t>to</w:t>
      </w:r>
      <w:r w:rsidR="00253351" w:rsidRPr="00DD79FA">
        <w:rPr>
          <w:rFonts w:cs="Arial"/>
          <w:sz w:val="24"/>
        </w:rPr>
        <w:t xml:space="preserve"> 8th April 2015. 17 participants f</w:t>
      </w:r>
      <w:r>
        <w:rPr>
          <w:rFonts w:cs="Arial"/>
          <w:sz w:val="24"/>
        </w:rPr>
        <w:t xml:space="preserve">rom 9 Agencies attended to this </w:t>
      </w:r>
      <w:r w:rsidR="00253351" w:rsidRPr="00DD79FA">
        <w:rPr>
          <w:rFonts w:cs="Arial"/>
          <w:sz w:val="24"/>
        </w:rPr>
        <w:t xml:space="preserve">training. </w:t>
      </w:r>
    </w:p>
    <w:p w14:paraId="6AB6346C" w14:textId="4746ECC8" w:rsidR="00DD79FA" w:rsidRPr="00DD79FA" w:rsidRDefault="00DD79FA" w:rsidP="00DD79FA">
      <w:pPr>
        <w:spacing w:after="1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D79FA">
        <w:rPr>
          <w:rFonts w:ascii="Arial" w:hAnsi="Arial" w:cs="Arial"/>
          <w:b/>
          <w:i/>
          <w:sz w:val="24"/>
          <w:szCs w:val="24"/>
          <w:u w:val="single"/>
        </w:rPr>
        <w:t>Emergency Response</w:t>
      </w:r>
    </w:p>
    <w:p w14:paraId="565949DA" w14:textId="3CFD98E3" w:rsidR="00253351" w:rsidRDefault="00DD79FA" w:rsidP="00233385">
      <w:pPr>
        <w:pStyle w:val="ListParagraph"/>
        <w:numPr>
          <w:ilvl w:val="0"/>
          <w:numId w:val="6"/>
        </w:numPr>
        <w:jc w:val="both"/>
        <w:rPr>
          <w:rFonts w:cs="Arial"/>
          <w:sz w:val="24"/>
        </w:rPr>
      </w:pPr>
      <w:r w:rsidRPr="00DD79FA">
        <w:rPr>
          <w:rFonts w:cs="Arial"/>
          <w:sz w:val="24"/>
        </w:rPr>
        <w:t>Through ERF mechanisms</w:t>
      </w:r>
      <w:r>
        <w:rPr>
          <w:rFonts w:cs="Arial"/>
          <w:sz w:val="24"/>
        </w:rPr>
        <w:t xml:space="preserve"> and with SI support</w:t>
      </w:r>
      <w:r w:rsidRPr="00DD79FA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KBC </w:t>
      </w:r>
      <w:r w:rsidR="00FE2C78">
        <w:rPr>
          <w:rFonts w:cs="Arial"/>
          <w:sz w:val="24"/>
        </w:rPr>
        <w:t xml:space="preserve">has prepared the distribution </w:t>
      </w:r>
      <w:proofErr w:type="gramStart"/>
      <w:r w:rsidR="00FE2C78">
        <w:rPr>
          <w:rFonts w:cs="Arial"/>
          <w:sz w:val="24"/>
        </w:rPr>
        <w:t xml:space="preserve">of </w:t>
      </w:r>
      <w:r>
        <w:rPr>
          <w:rFonts w:cs="Arial"/>
          <w:sz w:val="24"/>
        </w:rPr>
        <w:t xml:space="preserve"> 91</w:t>
      </w:r>
      <w:proofErr w:type="gramEnd"/>
      <w:r>
        <w:rPr>
          <w:rFonts w:cs="Arial"/>
          <w:sz w:val="24"/>
        </w:rPr>
        <w:t xml:space="preserve"> </w:t>
      </w:r>
      <w:r w:rsidR="00FE2C78">
        <w:rPr>
          <w:rFonts w:cs="Arial"/>
          <w:sz w:val="24"/>
        </w:rPr>
        <w:t xml:space="preserve">HKs for 91 </w:t>
      </w:r>
      <w:r>
        <w:rPr>
          <w:rFonts w:cs="Arial"/>
          <w:sz w:val="24"/>
        </w:rPr>
        <w:t xml:space="preserve">HHs recently displaced </w:t>
      </w:r>
      <w:r w:rsidR="00253351" w:rsidRPr="00DD79FA">
        <w:rPr>
          <w:rFonts w:cs="Arial"/>
          <w:sz w:val="24"/>
        </w:rPr>
        <w:t xml:space="preserve">in Lung </w:t>
      </w:r>
      <w:proofErr w:type="spellStart"/>
      <w:r w:rsidR="00253351" w:rsidRPr="00DD79FA">
        <w:rPr>
          <w:rFonts w:cs="Arial"/>
          <w:sz w:val="24"/>
        </w:rPr>
        <w:t>Sut</w:t>
      </w:r>
      <w:proofErr w:type="spellEnd"/>
      <w:r w:rsidR="00253351" w:rsidRPr="00DD79FA">
        <w:rPr>
          <w:rFonts w:cs="Arial"/>
          <w:sz w:val="24"/>
        </w:rPr>
        <w:t xml:space="preserve"> camp at </w:t>
      </w:r>
      <w:proofErr w:type="spellStart"/>
      <w:r w:rsidR="00253351" w:rsidRPr="00DD79FA">
        <w:rPr>
          <w:rFonts w:cs="Arial"/>
          <w:sz w:val="24"/>
        </w:rPr>
        <w:t>Puta</w:t>
      </w:r>
      <w:proofErr w:type="spellEnd"/>
      <w:r w:rsidR="00253351" w:rsidRPr="00DD79FA">
        <w:rPr>
          <w:rFonts w:cs="Arial"/>
          <w:sz w:val="24"/>
        </w:rPr>
        <w:t xml:space="preserve"> O town</w:t>
      </w:r>
      <w:r>
        <w:rPr>
          <w:rFonts w:cs="Arial"/>
          <w:sz w:val="24"/>
        </w:rPr>
        <w:t>.</w:t>
      </w:r>
    </w:p>
    <w:p w14:paraId="6F11EFF1" w14:textId="77777777" w:rsidR="00DD79FA" w:rsidRPr="00DD79FA" w:rsidRDefault="00DD79FA" w:rsidP="00774D71">
      <w:pPr>
        <w:pStyle w:val="ListParagraph"/>
        <w:jc w:val="both"/>
        <w:rPr>
          <w:rFonts w:cs="Arial"/>
          <w:sz w:val="24"/>
        </w:rPr>
      </w:pPr>
    </w:p>
    <w:p w14:paraId="25513212" w14:textId="77777777" w:rsidR="002200AA" w:rsidRPr="005913A1" w:rsidRDefault="002200AA" w:rsidP="009656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98260" w14:textId="5DF93B2C" w:rsidR="007E155C" w:rsidRPr="005913A1" w:rsidRDefault="00E51B1C" w:rsidP="007E155C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5913A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Main Priorities for next month</w:t>
      </w:r>
    </w:p>
    <w:p w14:paraId="4382B09C" w14:textId="1BEBD736" w:rsidR="00276C75" w:rsidRPr="00BC3873" w:rsidRDefault="00DD79FA" w:rsidP="0097385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Prepare next round of Cross line missions</w:t>
      </w:r>
    </w:p>
    <w:p w14:paraId="6345BAD5" w14:textId="48AE74CA" w:rsidR="00BC3873" w:rsidRPr="00BC3873" w:rsidRDefault="00BC3873" w:rsidP="0097385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Strengthen capacity development activities</w:t>
      </w:r>
      <w:r w:rsidR="00774D71">
        <w:rPr>
          <w:rFonts w:cs="Arial"/>
          <w:sz w:val="24"/>
        </w:rPr>
        <w:t xml:space="preserve"> with the arrival of new Capacity development officer within the WASH cluster</w:t>
      </w:r>
    </w:p>
    <w:p w14:paraId="51B5100F" w14:textId="7FF874B7" w:rsidR="00BC3873" w:rsidRPr="00041B4C" w:rsidRDefault="00BC3873" w:rsidP="0097385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Finalize monitoring framework for the WASH cluster in Kachin</w:t>
      </w:r>
    </w:p>
    <w:p w14:paraId="7BE40403" w14:textId="03A0F0AB" w:rsidR="00041B4C" w:rsidRPr="00041B4C" w:rsidRDefault="00041B4C" w:rsidP="0097385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Keep monitoring the WASH situation in IDPs camps</w:t>
      </w:r>
    </w:p>
    <w:p w14:paraId="5B1D3811" w14:textId="0D4FAFAC" w:rsidR="00041B4C" w:rsidRPr="00BC3873" w:rsidRDefault="00041B4C" w:rsidP="0097385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Support the WASH cluster members for WASH situation analysis</w:t>
      </w:r>
    </w:p>
    <w:p w14:paraId="741670A1" w14:textId="77777777" w:rsidR="00DD79FA" w:rsidRPr="00774D71" w:rsidRDefault="00DD79FA" w:rsidP="00774D71">
      <w:pPr>
        <w:spacing w:after="160" w:line="259" w:lineRule="auto"/>
        <w:ind w:left="360"/>
        <w:jc w:val="both"/>
        <w:rPr>
          <w:rFonts w:cs="Arial"/>
          <w:b/>
          <w:bCs/>
          <w:color w:val="548DD4" w:themeColor="text2" w:themeTint="99"/>
          <w:sz w:val="24"/>
        </w:rPr>
      </w:pPr>
    </w:p>
    <w:p w14:paraId="7B8FE6C7" w14:textId="77777777" w:rsidR="00BC3873" w:rsidRPr="005913A1" w:rsidRDefault="00BC3873" w:rsidP="00BC38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FD0EFD" w14:textId="77777777" w:rsidR="00BC3873" w:rsidRPr="00BC3873" w:rsidRDefault="00BC3873" w:rsidP="00BC3873">
      <w:pPr>
        <w:spacing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</w:p>
    <w:p w14:paraId="5C34D7BA" w14:textId="77777777" w:rsidR="00BC3873" w:rsidRPr="005913A1" w:rsidRDefault="00BC3873" w:rsidP="00BC3873">
      <w:pPr>
        <w:pBdr>
          <w:bottom w:val="thinThickSmallGap" w:sz="18" w:space="1" w:color="548DD4" w:themeColor="text2" w:themeTint="99"/>
        </w:pBdr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5913A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Produced by the WASH members</w:t>
      </w:r>
    </w:p>
    <w:p w14:paraId="0E57523E" w14:textId="7D92B360" w:rsidR="00BC3873" w:rsidRPr="00BC3873" w:rsidRDefault="00BC3873" w:rsidP="00BC3873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proofErr w:type="spellStart"/>
      <w:r>
        <w:rPr>
          <w:rFonts w:cs="Arial"/>
          <w:sz w:val="24"/>
        </w:rPr>
        <w:t>Hpakant</w:t>
      </w:r>
      <w:proofErr w:type="spellEnd"/>
      <w:r>
        <w:rPr>
          <w:rFonts w:cs="Arial"/>
          <w:sz w:val="24"/>
        </w:rPr>
        <w:t xml:space="preserve"> WASH joint assessment report</w:t>
      </w:r>
    </w:p>
    <w:p w14:paraId="1C78D555" w14:textId="349CC74B" w:rsidR="00BC3873" w:rsidRPr="00BC3873" w:rsidRDefault="00BC3873" w:rsidP="00BC3873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Cross lime mission assessment report</w:t>
      </w:r>
    </w:p>
    <w:p w14:paraId="04765111" w14:textId="2C466761" w:rsidR="00BC3873" w:rsidRPr="00041B4C" w:rsidRDefault="00BC3873" w:rsidP="00041B4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WASH cluster minutes</w:t>
      </w:r>
    </w:p>
    <w:p w14:paraId="23F8B6ED" w14:textId="68352D71" w:rsidR="00041B4C" w:rsidRPr="00041B4C" w:rsidRDefault="00041B4C" w:rsidP="00041B4C">
      <w:pPr>
        <w:pStyle w:val="ListParagraph"/>
        <w:numPr>
          <w:ilvl w:val="0"/>
          <w:numId w:val="1"/>
        </w:numPr>
        <w:spacing w:before="0" w:after="160" w:line="259" w:lineRule="auto"/>
        <w:jc w:val="both"/>
        <w:rPr>
          <w:rFonts w:cs="Arial"/>
          <w:b/>
          <w:bCs/>
          <w:color w:val="548DD4" w:themeColor="text2" w:themeTint="99"/>
          <w:sz w:val="24"/>
        </w:rPr>
      </w:pPr>
      <w:r>
        <w:rPr>
          <w:rFonts w:cs="Arial"/>
          <w:sz w:val="24"/>
        </w:rPr>
        <w:t>Join field visit with local authorities to address desludging issues</w:t>
      </w:r>
    </w:p>
    <w:sectPr w:rsidR="00041B4C" w:rsidRPr="00041B4C" w:rsidSect="00F276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DB72" w14:textId="77777777" w:rsidR="008A5462" w:rsidRDefault="008A5462" w:rsidP="004A6FB1">
      <w:pPr>
        <w:spacing w:after="0" w:line="240" w:lineRule="auto"/>
      </w:pPr>
      <w:r>
        <w:separator/>
      </w:r>
    </w:p>
  </w:endnote>
  <w:endnote w:type="continuationSeparator" w:id="0">
    <w:p w14:paraId="1B82EFC8" w14:textId="77777777" w:rsidR="008A5462" w:rsidRDefault="008A5462" w:rsidP="004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0256" w14:textId="77777777" w:rsidR="00774D71" w:rsidRDefault="00774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AB6D" w14:textId="77777777" w:rsidR="009F09BD" w:rsidRDefault="009F09BD" w:rsidP="003F224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923"/>
      </w:tabs>
      <w:rPr>
        <w:sz w:val="20"/>
        <w:szCs w:val="20"/>
      </w:rPr>
    </w:pPr>
    <w:r>
      <w:rPr>
        <w:sz w:val="20"/>
        <w:szCs w:val="20"/>
      </w:rPr>
      <w:t>WASH sub cluster</w:t>
    </w:r>
    <w:r>
      <w:rPr>
        <w:sz w:val="20"/>
        <w:szCs w:val="20"/>
      </w:rPr>
      <w:tab/>
      <w:t>Kachin and North Shan</w:t>
    </w:r>
  </w:p>
  <w:p w14:paraId="087E253C" w14:textId="25C48A3B" w:rsidR="009F09BD" w:rsidRPr="00BC5839" w:rsidRDefault="00774D71" w:rsidP="003F224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923"/>
      </w:tabs>
      <w:rPr>
        <w:sz w:val="20"/>
        <w:szCs w:val="20"/>
      </w:rPr>
    </w:pPr>
    <w:r>
      <w:rPr>
        <w:sz w:val="20"/>
        <w:szCs w:val="20"/>
      </w:rPr>
      <w:t>DBO</w:t>
    </w:r>
    <w:r>
      <w:rPr>
        <w:sz w:val="20"/>
        <w:szCs w:val="20"/>
      </w:rPr>
      <w:tab/>
      <w:t xml:space="preserve">April </w:t>
    </w:r>
    <w:bookmarkStart w:id="2" w:name="_GoBack"/>
    <w:bookmarkEnd w:id="2"/>
    <w:r w:rsidR="009F09BD">
      <w:rPr>
        <w:sz w:val="20"/>
        <w:szCs w:val="20"/>
      </w:rPr>
      <w:t>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8AE2" w14:textId="77777777" w:rsidR="00774D71" w:rsidRDefault="00774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271BA" w14:textId="77777777" w:rsidR="008A5462" w:rsidRDefault="008A5462" w:rsidP="004A6FB1">
      <w:pPr>
        <w:spacing w:after="0" w:line="240" w:lineRule="auto"/>
      </w:pPr>
      <w:r>
        <w:separator/>
      </w:r>
    </w:p>
  </w:footnote>
  <w:footnote w:type="continuationSeparator" w:id="0">
    <w:p w14:paraId="03731414" w14:textId="77777777" w:rsidR="008A5462" w:rsidRDefault="008A5462" w:rsidP="004A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938CC" w14:textId="77777777" w:rsidR="00774D71" w:rsidRDefault="00774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ADFF5" w14:textId="49E47A71" w:rsidR="009F09BD" w:rsidRDefault="009F09BD" w:rsidP="00DD0696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0" wp14:anchorId="7A6A693A" wp14:editId="7621B936">
          <wp:simplePos x="0" y="0"/>
          <wp:positionH relativeFrom="margin">
            <wp:posOffset>-85725</wp:posOffset>
          </wp:positionH>
          <wp:positionV relativeFrom="margin">
            <wp:posOffset>-762000</wp:posOffset>
          </wp:positionV>
          <wp:extent cx="2048040" cy="678240"/>
          <wp:effectExtent l="0" t="0" r="0" b="7620"/>
          <wp:wrapNone/>
          <wp:docPr id="5" name="Picture 5" descr="logo_wash_cluste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ash_cluster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040" cy="67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74D71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74D71">
      <w:rPr>
        <w:b/>
        <w:noProof/>
      </w:rPr>
      <w:t>7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9F5E" w14:textId="77777777" w:rsidR="00774D71" w:rsidRDefault="00774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4D6"/>
    <w:multiLevelType w:val="hybridMultilevel"/>
    <w:tmpl w:val="5A8E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74A"/>
    <w:multiLevelType w:val="hybridMultilevel"/>
    <w:tmpl w:val="B35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1154"/>
    <w:multiLevelType w:val="hybridMultilevel"/>
    <w:tmpl w:val="FE7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654B"/>
    <w:multiLevelType w:val="hybridMultilevel"/>
    <w:tmpl w:val="9BF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C2BAC"/>
    <w:multiLevelType w:val="hybridMultilevel"/>
    <w:tmpl w:val="3CD8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F3373"/>
    <w:multiLevelType w:val="hybridMultilevel"/>
    <w:tmpl w:val="7498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B1"/>
    <w:rsid w:val="000028BC"/>
    <w:rsid w:val="000029EF"/>
    <w:rsid w:val="00003B67"/>
    <w:rsid w:val="000048EF"/>
    <w:rsid w:val="000059BF"/>
    <w:rsid w:val="0001203C"/>
    <w:rsid w:val="000128E2"/>
    <w:rsid w:val="00013239"/>
    <w:rsid w:val="00014047"/>
    <w:rsid w:val="000172C7"/>
    <w:rsid w:val="000200BB"/>
    <w:rsid w:val="0002048A"/>
    <w:rsid w:val="00021E8B"/>
    <w:rsid w:val="000239CB"/>
    <w:rsid w:val="00025469"/>
    <w:rsid w:val="000257CB"/>
    <w:rsid w:val="00026152"/>
    <w:rsid w:val="00026C9A"/>
    <w:rsid w:val="0003179F"/>
    <w:rsid w:val="00032483"/>
    <w:rsid w:val="00041B4C"/>
    <w:rsid w:val="00043B17"/>
    <w:rsid w:val="00046F8D"/>
    <w:rsid w:val="00052AC2"/>
    <w:rsid w:val="000578A9"/>
    <w:rsid w:val="000608DD"/>
    <w:rsid w:val="000611EE"/>
    <w:rsid w:val="0006167F"/>
    <w:rsid w:val="00061CDE"/>
    <w:rsid w:val="0006302B"/>
    <w:rsid w:val="00074058"/>
    <w:rsid w:val="000760FB"/>
    <w:rsid w:val="000762A1"/>
    <w:rsid w:val="00076406"/>
    <w:rsid w:val="000803DD"/>
    <w:rsid w:val="00082AAD"/>
    <w:rsid w:val="000834F1"/>
    <w:rsid w:val="00085132"/>
    <w:rsid w:val="000875E0"/>
    <w:rsid w:val="00090293"/>
    <w:rsid w:val="00091B18"/>
    <w:rsid w:val="000921A8"/>
    <w:rsid w:val="00092670"/>
    <w:rsid w:val="0009340C"/>
    <w:rsid w:val="00093CDE"/>
    <w:rsid w:val="0009465B"/>
    <w:rsid w:val="00095FA2"/>
    <w:rsid w:val="00097764"/>
    <w:rsid w:val="00097B80"/>
    <w:rsid w:val="000A2C63"/>
    <w:rsid w:val="000B198C"/>
    <w:rsid w:val="000B3E5E"/>
    <w:rsid w:val="000B56DB"/>
    <w:rsid w:val="000C17E3"/>
    <w:rsid w:val="000C2F9D"/>
    <w:rsid w:val="000C30A6"/>
    <w:rsid w:val="000D00F2"/>
    <w:rsid w:val="000D290C"/>
    <w:rsid w:val="000D605B"/>
    <w:rsid w:val="000E0516"/>
    <w:rsid w:val="000E24FD"/>
    <w:rsid w:val="000E270C"/>
    <w:rsid w:val="000F13B6"/>
    <w:rsid w:val="000F33A5"/>
    <w:rsid w:val="000F3B61"/>
    <w:rsid w:val="000F76CF"/>
    <w:rsid w:val="0010292E"/>
    <w:rsid w:val="001033E1"/>
    <w:rsid w:val="00106A7F"/>
    <w:rsid w:val="00110FA4"/>
    <w:rsid w:val="00112ABD"/>
    <w:rsid w:val="0011410C"/>
    <w:rsid w:val="001146A7"/>
    <w:rsid w:val="00123A40"/>
    <w:rsid w:val="001249B0"/>
    <w:rsid w:val="00132419"/>
    <w:rsid w:val="00137D25"/>
    <w:rsid w:val="00151293"/>
    <w:rsid w:val="00155A94"/>
    <w:rsid w:val="0015634D"/>
    <w:rsid w:val="00161F36"/>
    <w:rsid w:val="0016351C"/>
    <w:rsid w:val="0017633E"/>
    <w:rsid w:val="00177599"/>
    <w:rsid w:val="00177D1A"/>
    <w:rsid w:val="0018524A"/>
    <w:rsid w:val="00192FD2"/>
    <w:rsid w:val="00193309"/>
    <w:rsid w:val="001940D3"/>
    <w:rsid w:val="001951E7"/>
    <w:rsid w:val="00195DC8"/>
    <w:rsid w:val="00197823"/>
    <w:rsid w:val="001B25E7"/>
    <w:rsid w:val="001C1B62"/>
    <w:rsid w:val="001C318B"/>
    <w:rsid w:val="001C4448"/>
    <w:rsid w:val="001C483A"/>
    <w:rsid w:val="001C5E29"/>
    <w:rsid w:val="001C5E34"/>
    <w:rsid w:val="001D1A12"/>
    <w:rsid w:val="001D67F3"/>
    <w:rsid w:val="001D71FD"/>
    <w:rsid w:val="001E09C5"/>
    <w:rsid w:val="001E27E8"/>
    <w:rsid w:val="001E3813"/>
    <w:rsid w:val="001E403A"/>
    <w:rsid w:val="001F35E7"/>
    <w:rsid w:val="001F5A4C"/>
    <w:rsid w:val="001F6CA8"/>
    <w:rsid w:val="001F74ED"/>
    <w:rsid w:val="0020026B"/>
    <w:rsid w:val="002052E8"/>
    <w:rsid w:val="00205D63"/>
    <w:rsid w:val="002060D9"/>
    <w:rsid w:val="00210BB0"/>
    <w:rsid w:val="00211A63"/>
    <w:rsid w:val="00212A2D"/>
    <w:rsid w:val="00212FCB"/>
    <w:rsid w:val="00215C87"/>
    <w:rsid w:val="0021676B"/>
    <w:rsid w:val="002200AA"/>
    <w:rsid w:val="002237B5"/>
    <w:rsid w:val="00224BBC"/>
    <w:rsid w:val="00225A81"/>
    <w:rsid w:val="00227066"/>
    <w:rsid w:val="0022743A"/>
    <w:rsid w:val="0022749C"/>
    <w:rsid w:val="00232CB9"/>
    <w:rsid w:val="0023384A"/>
    <w:rsid w:val="00234D66"/>
    <w:rsid w:val="00234E2D"/>
    <w:rsid w:val="00241273"/>
    <w:rsid w:val="0025086E"/>
    <w:rsid w:val="0025260F"/>
    <w:rsid w:val="00253351"/>
    <w:rsid w:val="002533F4"/>
    <w:rsid w:val="00253637"/>
    <w:rsid w:val="00253EBA"/>
    <w:rsid w:val="002544BB"/>
    <w:rsid w:val="00255259"/>
    <w:rsid w:val="00255815"/>
    <w:rsid w:val="00257282"/>
    <w:rsid w:val="00267D09"/>
    <w:rsid w:val="00270FD5"/>
    <w:rsid w:val="00272C0A"/>
    <w:rsid w:val="00273392"/>
    <w:rsid w:val="002737FE"/>
    <w:rsid w:val="00276C75"/>
    <w:rsid w:val="00277EB2"/>
    <w:rsid w:val="00284CDC"/>
    <w:rsid w:val="002866D9"/>
    <w:rsid w:val="002911A3"/>
    <w:rsid w:val="00291426"/>
    <w:rsid w:val="002935A2"/>
    <w:rsid w:val="002A3C89"/>
    <w:rsid w:val="002A558F"/>
    <w:rsid w:val="002A6C33"/>
    <w:rsid w:val="002A74D4"/>
    <w:rsid w:val="002B05BF"/>
    <w:rsid w:val="002B4398"/>
    <w:rsid w:val="002B662F"/>
    <w:rsid w:val="002B72C9"/>
    <w:rsid w:val="002C0C40"/>
    <w:rsid w:val="002C72E2"/>
    <w:rsid w:val="002C76BB"/>
    <w:rsid w:val="002D08AA"/>
    <w:rsid w:val="002D46DB"/>
    <w:rsid w:val="002D5B5B"/>
    <w:rsid w:val="002D6B91"/>
    <w:rsid w:val="002D78ED"/>
    <w:rsid w:val="002E3889"/>
    <w:rsid w:val="002E4F0C"/>
    <w:rsid w:val="002E7F4F"/>
    <w:rsid w:val="002F0883"/>
    <w:rsid w:val="002F3C49"/>
    <w:rsid w:val="002F7972"/>
    <w:rsid w:val="00300C28"/>
    <w:rsid w:val="00301BB1"/>
    <w:rsid w:val="00302593"/>
    <w:rsid w:val="00303030"/>
    <w:rsid w:val="00305CF5"/>
    <w:rsid w:val="00312645"/>
    <w:rsid w:val="003143C7"/>
    <w:rsid w:val="00323086"/>
    <w:rsid w:val="00327855"/>
    <w:rsid w:val="00331AEF"/>
    <w:rsid w:val="00331F82"/>
    <w:rsid w:val="00344F3B"/>
    <w:rsid w:val="00345294"/>
    <w:rsid w:val="00351C83"/>
    <w:rsid w:val="003522BF"/>
    <w:rsid w:val="00356BED"/>
    <w:rsid w:val="00357E74"/>
    <w:rsid w:val="00363B6B"/>
    <w:rsid w:val="00375611"/>
    <w:rsid w:val="003809E6"/>
    <w:rsid w:val="003815FA"/>
    <w:rsid w:val="00381BC6"/>
    <w:rsid w:val="00382FEB"/>
    <w:rsid w:val="00384AD9"/>
    <w:rsid w:val="003874BB"/>
    <w:rsid w:val="00392B68"/>
    <w:rsid w:val="0039576A"/>
    <w:rsid w:val="003A4386"/>
    <w:rsid w:val="003A6DBF"/>
    <w:rsid w:val="003B02EB"/>
    <w:rsid w:val="003C16B4"/>
    <w:rsid w:val="003C7B10"/>
    <w:rsid w:val="003D0CD8"/>
    <w:rsid w:val="003D1BA9"/>
    <w:rsid w:val="003D3FCA"/>
    <w:rsid w:val="003D495E"/>
    <w:rsid w:val="003D678C"/>
    <w:rsid w:val="003D6925"/>
    <w:rsid w:val="003D7B6A"/>
    <w:rsid w:val="003E17FC"/>
    <w:rsid w:val="003E3A01"/>
    <w:rsid w:val="003E758B"/>
    <w:rsid w:val="003F0B29"/>
    <w:rsid w:val="003F224F"/>
    <w:rsid w:val="003F3CCA"/>
    <w:rsid w:val="003F4489"/>
    <w:rsid w:val="003F6600"/>
    <w:rsid w:val="00401BD6"/>
    <w:rsid w:val="004039C9"/>
    <w:rsid w:val="00405EC0"/>
    <w:rsid w:val="0040663A"/>
    <w:rsid w:val="00410BD7"/>
    <w:rsid w:val="0041293A"/>
    <w:rsid w:val="00412C05"/>
    <w:rsid w:val="004169EB"/>
    <w:rsid w:val="00426825"/>
    <w:rsid w:val="00426EEB"/>
    <w:rsid w:val="00427850"/>
    <w:rsid w:val="00431B65"/>
    <w:rsid w:val="004337CD"/>
    <w:rsid w:val="004356C5"/>
    <w:rsid w:val="0043604C"/>
    <w:rsid w:val="004376EF"/>
    <w:rsid w:val="00441451"/>
    <w:rsid w:val="00441B23"/>
    <w:rsid w:val="00442CBB"/>
    <w:rsid w:val="004452C9"/>
    <w:rsid w:val="0044624F"/>
    <w:rsid w:val="00452633"/>
    <w:rsid w:val="004540A8"/>
    <w:rsid w:val="004567B0"/>
    <w:rsid w:val="00461C76"/>
    <w:rsid w:val="0046495F"/>
    <w:rsid w:val="004654C0"/>
    <w:rsid w:val="00466016"/>
    <w:rsid w:val="00467DD1"/>
    <w:rsid w:val="004704B6"/>
    <w:rsid w:val="00470740"/>
    <w:rsid w:val="0047222B"/>
    <w:rsid w:val="00474070"/>
    <w:rsid w:val="0048214A"/>
    <w:rsid w:val="00483300"/>
    <w:rsid w:val="00483934"/>
    <w:rsid w:val="00487D48"/>
    <w:rsid w:val="00492A1A"/>
    <w:rsid w:val="00494F9E"/>
    <w:rsid w:val="00495F78"/>
    <w:rsid w:val="004A2B30"/>
    <w:rsid w:val="004A6FB1"/>
    <w:rsid w:val="004B0C47"/>
    <w:rsid w:val="004B271D"/>
    <w:rsid w:val="004B2CAB"/>
    <w:rsid w:val="004B4383"/>
    <w:rsid w:val="004D1128"/>
    <w:rsid w:val="004D361C"/>
    <w:rsid w:val="004D36DE"/>
    <w:rsid w:val="004E0FA4"/>
    <w:rsid w:val="004E6E58"/>
    <w:rsid w:val="004F1310"/>
    <w:rsid w:val="004F1ACA"/>
    <w:rsid w:val="004F78FE"/>
    <w:rsid w:val="004F7CA7"/>
    <w:rsid w:val="0050135E"/>
    <w:rsid w:val="00502709"/>
    <w:rsid w:val="0050326E"/>
    <w:rsid w:val="0050349B"/>
    <w:rsid w:val="00505824"/>
    <w:rsid w:val="00506587"/>
    <w:rsid w:val="00506CB0"/>
    <w:rsid w:val="00517C48"/>
    <w:rsid w:val="00517E1E"/>
    <w:rsid w:val="00520BE9"/>
    <w:rsid w:val="005212B8"/>
    <w:rsid w:val="0052381D"/>
    <w:rsid w:val="00527C59"/>
    <w:rsid w:val="0053181D"/>
    <w:rsid w:val="00532DC6"/>
    <w:rsid w:val="00537886"/>
    <w:rsid w:val="00537ECF"/>
    <w:rsid w:val="00542717"/>
    <w:rsid w:val="005437BE"/>
    <w:rsid w:val="00544C82"/>
    <w:rsid w:val="00547C8D"/>
    <w:rsid w:val="00555CF0"/>
    <w:rsid w:val="005610A2"/>
    <w:rsid w:val="005641B8"/>
    <w:rsid w:val="005644E5"/>
    <w:rsid w:val="00564E32"/>
    <w:rsid w:val="0056654C"/>
    <w:rsid w:val="00566A0D"/>
    <w:rsid w:val="00581420"/>
    <w:rsid w:val="00583EEB"/>
    <w:rsid w:val="00585FD1"/>
    <w:rsid w:val="005878B4"/>
    <w:rsid w:val="00590438"/>
    <w:rsid w:val="005913A1"/>
    <w:rsid w:val="00596BA8"/>
    <w:rsid w:val="005A22CC"/>
    <w:rsid w:val="005A5226"/>
    <w:rsid w:val="005B2386"/>
    <w:rsid w:val="005B280F"/>
    <w:rsid w:val="005B7ABA"/>
    <w:rsid w:val="005C6C5B"/>
    <w:rsid w:val="005C6D6E"/>
    <w:rsid w:val="005D45C2"/>
    <w:rsid w:val="005D57C0"/>
    <w:rsid w:val="005E01E7"/>
    <w:rsid w:val="005E22B8"/>
    <w:rsid w:val="005E2DB8"/>
    <w:rsid w:val="005E3CA6"/>
    <w:rsid w:val="005E7898"/>
    <w:rsid w:val="005E7E14"/>
    <w:rsid w:val="005F3496"/>
    <w:rsid w:val="005F3F98"/>
    <w:rsid w:val="005F4D68"/>
    <w:rsid w:val="005F6A51"/>
    <w:rsid w:val="006007D3"/>
    <w:rsid w:val="006044C0"/>
    <w:rsid w:val="0060589C"/>
    <w:rsid w:val="00605D06"/>
    <w:rsid w:val="00607F30"/>
    <w:rsid w:val="006144CC"/>
    <w:rsid w:val="00616F7A"/>
    <w:rsid w:val="006177D1"/>
    <w:rsid w:val="0062004E"/>
    <w:rsid w:val="0062118D"/>
    <w:rsid w:val="006219AB"/>
    <w:rsid w:val="00624DA5"/>
    <w:rsid w:val="00631D81"/>
    <w:rsid w:val="00632B68"/>
    <w:rsid w:val="00636E06"/>
    <w:rsid w:val="0064078E"/>
    <w:rsid w:val="00643331"/>
    <w:rsid w:val="00644D22"/>
    <w:rsid w:val="00653420"/>
    <w:rsid w:val="0065419E"/>
    <w:rsid w:val="006547DE"/>
    <w:rsid w:val="00655664"/>
    <w:rsid w:val="00657D24"/>
    <w:rsid w:val="00660634"/>
    <w:rsid w:val="00660758"/>
    <w:rsid w:val="0066219D"/>
    <w:rsid w:val="00664703"/>
    <w:rsid w:val="00664C24"/>
    <w:rsid w:val="00681C2F"/>
    <w:rsid w:val="00682CB2"/>
    <w:rsid w:val="00683677"/>
    <w:rsid w:val="0068687D"/>
    <w:rsid w:val="00686CFC"/>
    <w:rsid w:val="00690AB6"/>
    <w:rsid w:val="006916FD"/>
    <w:rsid w:val="00691FC1"/>
    <w:rsid w:val="00694153"/>
    <w:rsid w:val="00694471"/>
    <w:rsid w:val="006A44D1"/>
    <w:rsid w:val="006A5AC3"/>
    <w:rsid w:val="006A6744"/>
    <w:rsid w:val="006B39BF"/>
    <w:rsid w:val="006B647E"/>
    <w:rsid w:val="006B6BCF"/>
    <w:rsid w:val="006B77C8"/>
    <w:rsid w:val="006C347B"/>
    <w:rsid w:val="006C3A08"/>
    <w:rsid w:val="006C791E"/>
    <w:rsid w:val="006D04A7"/>
    <w:rsid w:val="006D11C4"/>
    <w:rsid w:val="006D334B"/>
    <w:rsid w:val="006D660F"/>
    <w:rsid w:val="006E0AD1"/>
    <w:rsid w:val="006E49AE"/>
    <w:rsid w:val="006E779B"/>
    <w:rsid w:val="006F0301"/>
    <w:rsid w:val="006F1BE2"/>
    <w:rsid w:val="006F2C62"/>
    <w:rsid w:val="00702070"/>
    <w:rsid w:val="00702A9F"/>
    <w:rsid w:val="00721347"/>
    <w:rsid w:val="00721A7F"/>
    <w:rsid w:val="00724BF6"/>
    <w:rsid w:val="00731A61"/>
    <w:rsid w:val="00732944"/>
    <w:rsid w:val="0073647D"/>
    <w:rsid w:val="007369D1"/>
    <w:rsid w:val="00744FD6"/>
    <w:rsid w:val="00745DFF"/>
    <w:rsid w:val="00750E12"/>
    <w:rsid w:val="00754B97"/>
    <w:rsid w:val="007626C7"/>
    <w:rsid w:val="007643E8"/>
    <w:rsid w:val="0076624C"/>
    <w:rsid w:val="00770607"/>
    <w:rsid w:val="00772CB5"/>
    <w:rsid w:val="00774D71"/>
    <w:rsid w:val="00776697"/>
    <w:rsid w:val="00776B5E"/>
    <w:rsid w:val="00781457"/>
    <w:rsid w:val="00786D2C"/>
    <w:rsid w:val="00792070"/>
    <w:rsid w:val="00793881"/>
    <w:rsid w:val="00795697"/>
    <w:rsid w:val="00797263"/>
    <w:rsid w:val="007A6E48"/>
    <w:rsid w:val="007B0EC8"/>
    <w:rsid w:val="007B41B4"/>
    <w:rsid w:val="007B5455"/>
    <w:rsid w:val="007B5B86"/>
    <w:rsid w:val="007B798D"/>
    <w:rsid w:val="007C31A9"/>
    <w:rsid w:val="007C326F"/>
    <w:rsid w:val="007C32DF"/>
    <w:rsid w:val="007C5EA5"/>
    <w:rsid w:val="007D029F"/>
    <w:rsid w:val="007D12D2"/>
    <w:rsid w:val="007E155C"/>
    <w:rsid w:val="007E2AF3"/>
    <w:rsid w:val="007E6E26"/>
    <w:rsid w:val="007F3AD4"/>
    <w:rsid w:val="007F7D0E"/>
    <w:rsid w:val="00800253"/>
    <w:rsid w:val="008015F6"/>
    <w:rsid w:val="00801938"/>
    <w:rsid w:val="00803713"/>
    <w:rsid w:val="008054B0"/>
    <w:rsid w:val="008061A9"/>
    <w:rsid w:val="00810436"/>
    <w:rsid w:val="00812364"/>
    <w:rsid w:val="00814BCF"/>
    <w:rsid w:val="00816FF0"/>
    <w:rsid w:val="008201E8"/>
    <w:rsid w:val="008213AC"/>
    <w:rsid w:val="00821679"/>
    <w:rsid w:val="00821B02"/>
    <w:rsid w:val="00822B5B"/>
    <w:rsid w:val="008246F2"/>
    <w:rsid w:val="00827D4A"/>
    <w:rsid w:val="00833239"/>
    <w:rsid w:val="0083608B"/>
    <w:rsid w:val="008416C4"/>
    <w:rsid w:val="00841CE7"/>
    <w:rsid w:val="00842694"/>
    <w:rsid w:val="00844D73"/>
    <w:rsid w:val="0084649A"/>
    <w:rsid w:val="0084792E"/>
    <w:rsid w:val="008547EE"/>
    <w:rsid w:val="0085644A"/>
    <w:rsid w:val="00856789"/>
    <w:rsid w:val="0086047F"/>
    <w:rsid w:val="00861A84"/>
    <w:rsid w:val="0086614D"/>
    <w:rsid w:val="0087250B"/>
    <w:rsid w:val="00872E03"/>
    <w:rsid w:val="00873488"/>
    <w:rsid w:val="00874888"/>
    <w:rsid w:val="00882B30"/>
    <w:rsid w:val="008846D8"/>
    <w:rsid w:val="00884E25"/>
    <w:rsid w:val="0088645C"/>
    <w:rsid w:val="00886926"/>
    <w:rsid w:val="00886991"/>
    <w:rsid w:val="008872A2"/>
    <w:rsid w:val="0089041B"/>
    <w:rsid w:val="00896709"/>
    <w:rsid w:val="008A04E2"/>
    <w:rsid w:val="008A0852"/>
    <w:rsid w:val="008A52E3"/>
    <w:rsid w:val="008A5436"/>
    <w:rsid w:val="008A5462"/>
    <w:rsid w:val="008A5696"/>
    <w:rsid w:val="008A777B"/>
    <w:rsid w:val="008B10A7"/>
    <w:rsid w:val="008B1183"/>
    <w:rsid w:val="008B2A5B"/>
    <w:rsid w:val="008B53EB"/>
    <w:rsid w:val="008C207E"/>
    <w:rsid w:val="008C4885"/>
    <w:rsid w:val="008C4F4D"/>
    <w:rsid w:val="008C7656"/>
    <w:rsid w:val="008C7A76"/>
    <w:rsid w:val="008D3939"/>
    <w:rsid w:val="008D51B0"/>
    <w:rsid w:val="008E4CEA"/>
    <w:rsid w:val="008E6A87"/>
    <w:rsid w:val="008F15C1"/>
    <w:rsid w:val="008F2C28"/>
    <w:rsid w:val="008F5E68"/>
    <w:rsid w:val="0090248F"/>
    <w:rsid w:val="009067D7"/>
    <w:rsid w:val="009073AF"/>
    <w:rsid w:val="009103DA"/>
    <w:rsid w:val="00912400"/>
    <w:rsid w:val="0091572E"/>
    <w:rsid w:val="009161A2"/>
    <w:rsid w:val="00920B51"/>
    <w:rsid w:val="00924678"/>
    <w:rsid w:val="00924DFF"/>
    <w:rsid w:val="00925BBE"/>
    <w:rsid w:val="009267B3"/>
    <w:rsid w:val="00933F71"/>
    <w:rsid w:val="00936259"/>
    <w:rsid w:val="00941BDB"/>
    <w:rsid w:val="00947548"/>
    <w:rsid w:val="00953EA5"/>
    <w:rsid w:val="00962DF1"/>
    <w:rsid w:val="00963494"/>
    <w:rsid w:val="009656F5"/>
    <w:rsid w:val="0096571C"/>
    <w:rsid w:val="00972D8E"/>
    <w:rsid w:val="0097331C"/>
    <w:rsid w:val="0097385C"/>
    <w:rsid w:val="009747E7"/>
    <w:rsid w:val="009773D1"/>
    <w:rsid w:val="00977C8D"/>
    <w:rsid w:val="0099006E"/>
    <w:rsid w:val="00990A15"/>
    <w:rsid w:val="009918FA"/>
    <w:rsid w:val="00991F00"/>
    <w:rsid w:val="00992B00"/>
    <w:rsid w:val="00992C82"/>
    <w:rsid w:val="0099357D"/>
    <w:rsid w:val="009A77CD"/>
    <w:rsid w:val="009A7BC6"/>
    <w:rsid w:val="009B2255"/>
    <w:rsid w:val="009B6D5C"/>
    <w:rsid w:val="009C116E"/>
    <w:rsid w:val="009C348F"/>
    <w:rsid w:val="009D1F9D"/>
    <w:rsid w:val="009D2B49"/>
    <w:rsid w:val="009D6D93"/>
    <w:rsid w:val="009D6FCB"/>
    <w:rsid w:val="009D72FD"/>
    <w:rsid w:val="009E16F1"/>
    <w:rsid w:val="009E2554"/>
    <w:rsid w:val="009E3536"/>
    <w:rsid w:val="009E3CD2"/>
    <w:rsid w:val="009E48EC"/>
    <w:rsid w:val="009E5B4B"/>
    <w:rsid w:val="009E63BE"/>
    <w:rsid w:val="009F06D2"/>
    <w:rsid w:val="009F09BD"/>
    <w:rsid w:val="009F3501"/>
    <w:rsid w:val="009F52E7"/>
    <w:rsid w:val="009F7E6A"/>
    <w:rsid w:val="00A05358"/>
    <w:rsid w:val="00A06F61"/>
    <w:rsid w:val="00A07ECF"/>
    <w:rsid w:val="00A108AD"/>
    <w:rsid w:val="00A12430"/>
    <w:rsid w:val="00A20DCE"/>
    <w:rsid w:val="00A229F8"/>
    <w:rsid w:val="00A26BB2"/>
    <w:rsid w:val="00A26DC5"/>
    <w:rsid w:val="00A37389"/>
    <w:rsid w:val="00A44159"/>
    <w:rsid w:val="00A441C4"/>
    <w:rsid w:val="00A45F82"/>
    <w:rsid w:val="00A465EB"/>
    <w:rsid w:val="00A46DA7"/>
    <w:rsid w:val="00A519B1"/>
    <w:rsid w:val="00A524C1"/>
    <w:rsid w:val="00A52E9B"/>
    <w:rsid w:val="00A61D9D"/>
    <w:rsid w:val="00A633C8"/>
    <w:rsid w:val="00A64118"/>
    <w:rsid w:val="00A64E9D"/>
    <w:rsid w:val="00A72BA1"/>
    <w:rsid w:val="00A72E77"/>
    <w:rsid w:val="00A75CBC"/>
    <w:rsid w:val="00A760B8"/>
    <w:rsid w:val="00A856E8"/>
    <w:rsid w:val="00A85CCF"/>
    <w:rsid w:val="00A86018"/>
    <w:rsid w:val="00A910E0"/>
    <w:rsid w:val="00AA1F0F"/>
    <w:rsid w:val="00AA210E"/>
    <w:rsid w:val="00AA2358"/>
    <w:rsid w:val="00AA26C9"/>
    <w:rsid w:val="00AA4941"/>
    <w:rsid w:val="00AA6A8C"/>
    <w:rsid w:val="00AA705D"/>
    <w:rsid w:val="00AA78F3"/>
    <w:rsid w:val="00AB0E9B"/>
    <w:rsid w:val="00AB2F00"/>
    <w:rsid w:val="00AB39E6"/>
    <w:rsid w:val="00AB7ACD"/>
    <w:rsid w:val="00AC0E68"/>
    <w:rsid w:val="00AC5A51"/>
    <w:rsid w:val="00AC67B6"/>
    <w:rsid w:val="00AC70B5"/>
    <w:rsid w:val="00AD4B21"/>
    <w:rsid w:val="00AD5D34"/>
    <w:rsid w:val="00AE0E93"/>
    <w:rsid w:val="00AE2A5D"/>
    <w:rsid w:val="00AE2CB8"/>
    <w:rsid w:val="00AE42F3"/>
    <w:rsid w:val="00B01BC0"/>
    <w:rsid w:val="00B10AFC"/>
    <w:rsid w:val="00B13F1F"/>
    <w:rsid w:val="00B14D70"/>
    <w:rsid w:val="00B2430A"/>
    <w:rsid w:val="00B24C1D"/>
    <w:rsid w:val="00B25091"/>
    <w:rsid w:val="00B34FA3"/>
    <w:rsid w:val="00B36D25"/>
    <w:rsid w:val="00B420D9"/>
    <w:rsid w:val="00B45554"/>
    <w:rsid w:val="00B47576"/>
    <w:rsid w:val="00B55E77"/>
    <w:rsid w:val="00B60671"/>
    <w:rsid w:val="00B60E00"/>
    <w:rsid w:val="00B60FAC"/>
    <w:rsid w:val="00B630E7"/>
    <w:rsid w:val="00B70B67"/>
    <w:rsid w:val="00B71910"/>
    <w:rsid w:val="00B71B39"/>
    <w:rsid w:val="00B7773B"/>
    <w:rsid w:val="00B8354D"/>
    <w:rsid w:val="00B870CE"/>
    <w:rsid w:val="00B902D7"/>
    <w:rsid w:val="00B959B4"/>
    <w:rsid w:val="00B96841"/>
    <w:rsid w:val="00BA01C6"/>
    <w:rsid w:val="00BA08AF"/>
    <w:rsid w:val="00BA1CEC"/>
    <w:rsid w:val="00BA4D49"/>
    <w:rsid w:val="00BA538C"/>
    <w:rsid w:val="00BB2DB8"/>
    <w:rsid w:val="00BB4E09"/>
    <w:rsid w:val="00BB7139"/>
    <w:rsid w:val="00BC0596"/>
    <w:rsid w:val="00BC13FA"/>
    <w:rsid w:val="00BC25CB"/>
    <w:rsid w:val="00BC32A2"/>
    <w:rsid w:val="00BC3873"/>
    <w:rsid w:val="00BC43FA"/>
    <w:rsid w:val="00BC5839"/>
    <w:rsid w:val="00BE4F72"/>
    <w:rsid w:val="00BE4FA0"/>
    <w:rsid w:val="00BE5EB5"/>
    <w:rsid w:val="00BE7128"/>
    <w:rsid w:val="00BE71F8"/>
    <w:rsid w:val="00BF0959"/>
    <w:rsid w:val="00BF1753"/>
    <w:rsid w:val="00BF1A56"/>
    <w:rsid w:val="00BF2FC6"/>
    <w:rsid w:val="00BF438C"/>
    <w:rsid w:val="00BF5E3F"/>
    <w:rsid w:val="00BF7DFF"/>
    <w:rsid w:val="00C002CF"/>
    <w:rsid w:val="00C13A05"/>
    <w:rsid w:val="00C16C8B"/>
    <w:rsid w:val="00C25DF1"/>
    <w:rsid w:val="00C301A6"/>
    <w:rsid w:val="00C306BE"/>
    <w:rsid w:val="00C31838"/>
    <w:rsid w:val="00C32FD4"/>
    <w:rsid w:val="00C34113"/>
    <w:rsid w:val="00C34D5B"/>
    <w:rsid w:val="00C35043"/>
    <w:rsid w:val="00C36AB6"/>
    <w:rsid w:val="00C378EA"/>
    <w:rsid w:val="00C37CAB"/>
    <w:rsid w:val="00C4149C"/>
    <w:rsid w:val="00C41A8B"/>
    <w:rsid w:val="00C43D32"/>
    <w:rsid w:val="00C43D69"/>
    <w:rsid w:val="00C449AE"/>
    <w:rsid w:val="00C44E7C"/>
    <w:rsid w:val="00C47AAB"/>
    <w:rsid w:val="00C51C21"/>
    <w:rsid w:val="00C543C4"/>
    <w:rsid w:val="00C54699"/>
    <w:rsid w:val="00C55885"/>
    <w:rsid w:val="00C568B2"/>
    <w:rsid w:val="00C57214"/>
    <w:rsid w:val="00C57352"/>
    <w:rsid w:val="00C618F2"/>
    <w:rsid w:val="00C629C4"/>
    <w:rsid w:val="00C63036"/>
    <w:rsid w:val="00C653A4"/>
    <w:rsid w:val="00C74391"/>
    <w:rsid w:val="00C8152B"/>
    <w:rsid w:val="00C824B6"/>
    <w:rsid w:val="00C82580"/>
    <w:rsid w:val="00C85204"/>
    <w:rsid w:val="00C85BF6"/>
    <w:rsid w:val="00C85D11"/>
    <w:rsid w:val="00C925FF"/>
    <w:rsid w:val="00C94DDB"/>
    <w:rsid w:val="00C95892"/>
    <w:rsid w:val="00C96B7B"/>
    <w:rsid w:val="00C96D8E"/>
    <w:rsid w:val="00CA4EAC"/>
    <w:rsid w:val="00CA54B2"/>
    <w:rsid w:val="00CA7C7F"/>
    <w:rsid w:val="00CB13A8"/>
    <w:rsid w:val="00CB1FA9"/>
    <w:rsid w:val="00CB3D5D"/>
    <w:rsid w:val="00CB4208"/>
    <w:rsid w:val="00CB5FA2"/>
    <w:rsid w:val="00CC7977"/>
    <w:rsid w:val="00CD0BD7"/>
    <w:rsid w:val="00CD0F52"/>
    <w:rsid w:val="00CD1E61"/>
    <w:rsid w:val="00CE29F2"/>
    <w:rsid w:val="00CE6A1E"/>
    <w:rsid w:val="00CF070D"/>
    <w:rsid w:val="00CF0A06"/>
    <w:rsid w:val="00CF0A44"/>
    <w:rsid w:val="00CF2BA1"/>
    <w:rsid w:val="00CF4E85"/>
    <w:rsid w:val="00CF53DB"/>
    <w:rsid w:val="00D07EF0"/>
    <w:rsid w:val="00D10834"/>
    <w:rsid w:val="00D15622"/>
    <w:rsid w:val="00D20606"/>
    <w:rsid w:val="00D20671"/>
    <w:rsid w:val="00D22190"/>
    <w:rsid w:val="00D27A59"/>
    <w:rsid w:val="00D3028E"/>
    <w:rsid w:val="00D358B2"/>
    <w:rsid w:val="00D37AC2"/>
    <w:rsid w:val="00D4234C"/>
    <w:rsid w:val="00D504FA"/>
    <w:rsid w:val="00D514F7"/>
    <w:rsid w:val="00D5278A"/>
    <w:rsid w:val="00D5430D"/>
    <w:rsid w:val="00D57069"/>
    <w:rsid w:val="00D608E4"/>
    <w:rsid w:val="00D64AB6"/>
    <w:rsid w:val="00D6793D"/>
    <w:rsid w:val="00D71D13"/>
    <w:rsid w:val="00D73C86"/>
    <w:rsid w:val="00D74EA7"/>
    <w:rsid w:val="00D77EF6"/>
    <w:rsid w:val="00D801EC"/>
    <w:rsid w:val="00D815D9"/>
    <w:rsid w:val="00D81EA4"/>
    <w:rsid w:val="00D90A02"/>
    <w:rsid w:val="00D90CE4"/>
    <w:rsid w:val="00D92F07"/>
    <w:rsid w:val="00D93806"/>
    <w:rsid w:val="00D96A19"/>
    <w:rsid w:val="00DA33F4"/>
    <w:rsid w:val="00DA3A4D"/>
    <w:rsid w:val="00DA6963"/>
    <w:rsid w:val="00DB0C28"/>
    <w:rsid w:val="00DB124F"/>
    <w:rsid w:val="00DB19B4"/>
    <w:rsid w:val="00DB2AD7"/>
    <w:rsid w:val="00DB4B90"/>
    <w:rsid w:val="00DB5A7B"/>
    <w:rsid w:val="00DC1435"/>
    <w:rsid w:val="00DC2012"/>
    <w:rsid w:val="00DC5B04"/>
    <w:rsid w:val="00DC688A"/>
    <w:rsid w:val="00DC74B6"/>
    <w:rsid w:val="00DD0420"/>
    <w:rsid w:val="00DD0696"/>
    <w:rsid w:val="00DD0E9D"/>
    <w:rsid w:val="00DD4BB5"/>
    <w:rsid w:val="00DD7218"/>
    <w:rsid w:val="00DD79FA"/>
    <w:rsid w:val="00DD7ABE"/>
    <w:rsid w:val="00DE01AA"/>
    <w:rsid w:val="00DE2353"/>
    <w:rsid w:val="00DE24BD"/>
    <w:rsid w:val="00DE2C9C"/>
    <w:rsid w:val="00DE3064"/>
    <w:rsid w:val="00DE34A2"/>
    <w:rsid w:val="00DE7372"/>
    <w:rsid w:val="00DE7D4C"/>
    <w:rsid w:val="00DE7FBA"/>
    <w:rsid w:val="00DF4B50"/>
    <w:rsid w:val="00DF56E7"/>
    <w:rsid w:val="00DF6F54"/>
    <w:rsid w:val="00E03049"/>
    <w:rsid w:val="00E03B43"/>
    <w:rsid w:val="00E040CB"/>
    <w:rsid w:val="00E0581F"/>
    <w:rsid w:val="00E11709"/>
    <w:rsid w:val="00E1218D"/>
    <w:rsid w:val="00E12738"/>
    <w:rsid w:val="00E17D0F"/>
    <w:rsid w:val="00E211F2"/>
    <w:rsid w:val="00E21B6A"/>
    <w:rsid w:val="00E23105"/>
    <w:rsid w:val="00E27503"/>
    <w:rsid w:val="00E30A31"/>
    <w:rsid w:val="00E32135"/>
    <w:rsid w:val="00E35814"/>
    <w:rsid w:val="00E35AEF"/>
    <w:rsid w:val="00E37BB9"/>
    <w:rsid w:val="00E40350"/>
    <w:rsid w:val="00E40CA5"/>
    <w:rsid w:val="00E42A6E"/>
    <w:rsid w:val="00E51B1C"/>
    <w:rsid w:val="00E54508"/>
    <w:rsid w:val="00E57B8D"/>
    <w:rsid w:val="00E60AC9"/>
    <w:rsid w:val="00E6180F"/>
    <w:rsid w:val="00E65BE8"/>
    <w:rsid w:val="00E6614E"/>
    <w:rsid w:val="00E6665B"/>
    <w:rsid w:val="00E66E71"/>
    <w:rsid w:val="00E66ED5"/>
    <w:rsid w:val="00E670F5"/>
    <w:rsid w:val="00E70A53"/>
    <w:rsid w:val="00E73825"/>
    <w:rsid w:val="00E86386"/>
    <w:rsid w:val="00E90929"/>
    <w:rsid w:val="00E95A4F"/>
    <w:rsid w:val="00EA2827"/>
    <w:rsid w:val="00EA2F1F"/>
    <w:rsid w:val="00EA398C"/>
    <w:rsid w:val="00EA67F6"/>
    <w:rsid w:val="00EB2067"/>
    <w:rsid w:val="00EB46EF"/>
    <w:rsid w:val="00EB4742"/>
    <w:rsid w:val="00EB7A52"/>
    <w:rsid w:val="00EC32D1"/>
    <w:rsid w:val="00EC5406"/>
    <w:rsid w:val="00EC7BC5"/>
    <w:rsid w:val="00ED0F18"/>
    <w:rsid w:val="00ED1821"/>
    <w:rsid w:val="00ED1CA8"/>
    <w:rsid w:val="00ED27C8"/>
    <w:rsid w:val="00ED2E82"/>
    <w:rsid w:val="00ED375B"/>
    <w:rsid w:val="00ED3BAF"/>
    <w:rsid w:val="00ED3FB7"/>
    <w:rsid w:val="00ED696A"/>
    <w:rsid w:val="00EE0130"/>
    <w:rsid w:val="00EE14DE"/>
    <w:rsid w:val="00EE3658"/>
    <w:rsid w:val="00EE543D"/>
    <w:rsid w:val="00EF261A"/>
    <w:rsid w:val="00EF4757"/>
    <w:rsid w:val="00EF4812"/>
    <w:rsid w:val="00EF48B1"/>
    <w:rsid w:val="00F0009E"/>
    <w:rsid w:val="00F02ABE"/>
    <w:rsid w:val="00F033E6"/>
    <w:rsid w:val="00F0358F"/>
    <w:rsid w:val="00F038DE"/>
    <w:rsid w:val="00F048B5"/>
    <w:rsid w:val="00F05DB3"/>
    <w:rsid w:val="00F06913"/>
    <w:rsid w:val="00F12AA9"/>
    <w:rsid w:val="00F1584D"/>
    <w:rsid w:val="00F15B13"/>
    <w:rsid w:val="00F160C1"/>
    <w:rsid w:val="00F272AE"/>
    <w:rsid w:val="00F276EC"/>
    <w:rsid w:val="00F27AEF"/>
    <w:rsid w:val="00F27D45"/>
    <w:rsid w:val="00F3422F"/>
    <w:rsid w:val="00F45515"/>
    <w:rsid w:val="00F46FE9"/>
    <w:rsid w:val="00F4742F"/>
    <w:rsid w:val="00F47C00"/>
    <w:rsid w:val="00F51E05"/>
    <w:rsid w:val="00F55E47"/>
    <w:rsid w:val="00F6108D"/>
    <w:rsid w:val="00F652D7"/>
    <w:rsid w:val="00F66B57"/>
    <w:rsid w:val="00F672B4"/>
    <w:rsid w:val="00F672B5"/>
    <w:rsid w:val="00F67CF9"/>
    <w:rsid w:val="00F7401A"/>
    <w:rsid w:val="00F76D8D"/>
    <w:rsid w:val="00F85F4B"/>
    <w:rsid w:val="00F90B71"/>
    <w:rsid w:val="00F90FD2"/>
    <w:rsid w:val="00F93D03"/>
    <w:rsid w:val="00F949C8"/>
    <w:rsid w:val="00FB2DE7"/>
    <w:rsid w:val="00FB3D4C"/>
    <w:rsid w:val="00FB3D6D"/>
    <w:rsid w:val="00FB452D"/>
    <w:rsid w:val="00FC1A47"/>
    <w:rsid w:val="00FC1E2F"/>
    <w:rsid w:val="00FC60E5"/>
    <w:rsid w:val="00FD1A65"/>
    <w:rsid w:val="00FD6C98"/>
    <w:rsid w:val="00FE23A1"/>
    <w:rsid w:val="00FE2C78"/>
    <w:rsid w:val="00FE6FD1"/>
    <w:rsid w:val="00FE7B38"/>
    <w:rsid w:val="00FF127C"/>
    <w:rsid w:val="00FF4F0B"/>
    <w:rsid w:val="00FF52F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1121"/>
  <w15:docId w15:val="{674EFE50-6E31-4E47-9351-176A139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B1"/>
  </w:style>
  <w:style w:type="paragraph" w:styleId="Footer">
    <w:name w:val="footer"/>
    <w:basedOn w:val="Normal"/>
    <w:link w:val="FooterChar"/>
    <w:uiPriority w:val="99"/>
    <w:unhideWhenUsed/>
    <w:rsid w:val="004A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B1"/>
  </w:style>
  <w:style w:type="paragraph" w:styleId="BalloonText">
    <w:name w:val="Balloon Text"/>
    <w:basedOn w:val="Normal"/>
    <w:link w:val="BalloonTextChar"/>
    <w:uiPriority w:val="99"/>
    <w:semiHidden/>
    <w:unhideWhenUsed/>
    <w:rsid w:val="00E5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4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A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98D"/>
    <w:pPr>
      <w:spacing w:before="120" w:after="0" w:line="240" w:lineRule="auto"/>
      <w:ind w:left="720"/>
      <w:contextualSpacing/>
    </w:pPr>
    <w:rPr>
      <w:rFonts w:ascii="Arial" w:eastAsia="Cambria" w:hAnsi="Arial" w:cs="Times New Roman"/>
      <w:szCs w:val="24"/>
    </w:rPr>
  </w:style>
  <w:style w:type="table" w:styleId="TableGrid">
    <w:name w:val="Table Grid"/>
    <w:basedOn w:val="TableNormal"/>
    <w:uiPriority w:val="59"/>
    <w:rsid w:val="0093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2F0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3D0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D69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9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9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9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9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692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51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2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3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7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01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9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0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84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86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8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76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428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85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49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8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72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3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85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61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603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071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47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69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07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216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imu.info/emergencies/wash-cluster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idier\4Ws\2015\April%202015\4Ws%20Wash_Matrix_KachinNorth%20Shan_Mast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idier\4Ws\2015\April%202015\4Ws%20Wash_Matrix_KachinNorth%20Shan_Mast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idier\4Ws\2015\April%202015\4Ws%20Wash_Matrix_KachinNorth%20Shan_Mast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non WASH targeted IDPs camps in Kachin and NSS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Sheet1!$A$1:$C$1</c:f>
              <c:strCache>
                <c:ptCount val="3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55</c:v>
                </c:pt>
                <c:pt idx="1">
                  <c:v>73</c:v>
                </c:pt>
                <c:pt idx="2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155992"/>
        <c:axId val="220417456"/>
      </c:barChart>
      <c:catAx>
        <c:axId val="29515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0417456"/>
        <c:crosses val="autoZero"/>
        <c:auto val="1"/>
        <c:lblAlgn val="ctr"/>
        <c:lblOffset val="100"/>
        <c:noMultiLvlLbl val="0"/>
      </c:catAx>
      <c:valAx>
        <c:axId val="2204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15599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[4Ws Wash_Matrix_KachinNorth Shan_Master.xlsx]SituationAnalysis!PivotTable12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Needs Coverage</a:t>
            </a:r>
          </a:p>
        </c:rich>
      </c:tx>
      <c:layout>
        <c:manualLayout>
          <c:xMode val="edge"/>
          <c:yMode val="edge"/>
          <c:x val="0.38267455621301777"/>
          <c:y val="3.3210332103321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</c:pivotFmts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SituationAnalysis!$C$118</c:f>
              <c:strCache>
                <c:ptCount val="1"/>
                <c:pt idx="0">
                  <c:v>% Water Need coverage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SituationAnalysis!$B$119:$B$124</c:f>
              <c:strCache>
                <c:ptCount val="5"/>
                <c:pt idx="0">
                  <c:v>1. Small</c:v>
                </c:pt>
                <c:pt idx="1">
                  <c:v>2. Medium</c:v>
                </c:pt>
                <c:pt idx="2">
                  <c:v>3. Large</c:v>
                </c:pt>
                <c:pt idx="3">
                  <c:v>4. Big</c:v>
                </c:pt>
                <c:pt idx="4">
                  <c:v>5. Massive</c:v>
                </c:pt>
              </c:strCache>
            </c:strRef>
          </c:cat>
          <c:val>
            <c:numRef>
              <c:f>SituationAnalysis!$C$119:$C$124</c:f>
              <c:numCache>
                <c:formatCode>0%</c:formatCode>
                <c:ptCount val="5"/>
                <c:pt idx="0">
                  <c:v>0.98243654822335025</c:v>
                </c:pt>
                <c:pt idx="1">
                  <c:v>0.99337428869592603</c:v>
                </c:pt>
                <c:pt idx="2">
                  <c:v>1</c:v>
                </c:pt>
                <c:pt idx="3">
                  <c:v>1</c:v>
                </c:pt>
                <c:pt idx="4">
                  <c:v>0.50385481148002254</c:v>
                </c:pt>
              </c:numCache>
            </c:numRef>
          </c:val>
        </c:ser>
        <c:ser>
          <c:idx val="1"/>
          <c:order val="1"/>
          <c:tx>
            <c:strRef>
              <c:f>SituationAnalysis!$D$118</c:f>
              <c:strCache>
                <c:ptCount val="1"/>
                <c:pt idx="0">
                  <c:v>% Latrine need coverage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SituationAnalysis!$B$119:$B$124</c:f>
              <c:strCache>
                <c:ptCount val="5"/>
                <c:pt idx="0">
                  <c:v>1. Small</c:v>
                </c:pt>
                <c:pt idx="1">
                  <c:v>2. Medium</c:v>
                </c:pt>
                <c:pt idx="2">
                  <c:v>3. Large</c:v>
                </c:pt>
                <c:pt idx="3">
                  <c:v>4. Big</c:v>
                </c:pt>
                <c:pt idx="4">
                  <c:v>5. Massive</c:v>
                </c:pt>
              </c:strCache>
            </c:strRef>
          </c:cat>
          <c:val>
            <c:numRef>
              <c:f>SituationAnalysis!$D$119:$D$124</c:f>
              <c:numCache>
                <c:formatCode>0%</c:formatCode>
                <c:ptCount val="5"/>
                <c:pt idx="0">
                  <c:v>0.95266497461928934</c:v>
                </c:pt>
                <c:pt idx="1">
                  <c:v>0.84603343375273199</c:v>
                </c:pt>
                <c:pt idx="2">
                  <c:v>0.95364337602036997</c:v>
                </c:pt>
                <c:pt idx="3">
                  <c:v>0.72644966587626647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SituationAnalysis!$E$118</c:f>
              <c:strCache>
                <c:ptCount val="1"/>
                <c:pt idx="0">
                  <c:v>% Bathroom need coverage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SituationAnalysis!$B$119:$B$124</c:f>
              <c:strCache>
                <c:ptCount val="5"/>
                <c:pt idx="0">
                  <c:v>1. Small</c:v>
                </c:pt>
                <c:pt idx="1">
                  <c:v>2. Medium</c:v>
                </c:pt>
                <c:pt idx="2">
                  <c:v>3. Large</c:v>
                </c:pt>
                <c:pt idx="3">
                  <c:v>4. Big</c:v>
                </c:pt>
                <c:pt idx="4">
                  <c:v>5. Massive</c:v>
                </c:pt>
              </c:strCache>
            </c:strRef>
          </c:cat>
          <c:val>
            <c:numRef>
              <c:f>SituationAnalysis!$E$119:$E$124</c:f>
              <c:numCache>
                <c:formatCode>0%</c:formatCode>
                <c:ptCount val="5"/>
                <c:pt idx="0">
                  <c:v>0.85139593908629441</c:v>
                </c:pt>
                <c:pt idx="1">
                  <c:v>0.51278870577116187</c:v>
                </c:pt>
                <c:pt idx="2">
                  <c:v>0.39197184153373776</c:v>
                </c:pt>
                <c:pt idx="3">
                  <c:v>0.18682187252999929</c:v>
                </c:pt>
                <c:pt idx="4">
                  <c:v>0.68936409679234667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113808"/>
        <c:axId val="215114592"/>
        <c:axId val="0"/>
      </c:bar3DChart>
      <c:catAx>
        <c:axId val="21511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114592"/>
        <c:crosses val="autoZero"/>
        <c:auto val="1"/>
        <c:lblAlgn val="ctr"/>
        <c:lblOffset val="100"/>
        <c:noMultiLvlLbl val="0"/>
      </c:catAx>
      <c:valAx>
        <c:axId val="21511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511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</a:sp3d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[4Ws Wash_Matrix_KachinNorth Shan_Master.xlsx]SituationAnalysis!PivotTable23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Full HK coverage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</c:pivotFmts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SituationAnalysis!$C$374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SituationAnalysis!$B$375:$B$393</c:f>
              <c:strCache>
                <c:ptCount val="18"/>
                <c:pt idx="0">
                  <c:v>Bhamo</c:v>
                </c:pt>
                <c:pt idx="1">
                  <c:v>Chipwi</c:v>
                </c:pt>
                <c:pt idx="2">
                  <c:v>Hpakan</c:v>
                </c:pt>
                <c:pt idx="3">
                  <c:v>Kutkai</c:v>
                </c:pt>
                <c:pt idx="4">
                  <c:v>Machanbaw</c:v>
                </c:pt>
                <c:pt idx="5">
                  <c:v>Mansi</c:v>
                </c:pt>
                <c:pt idx="6">
                  <c:v>Manton</c:v>
                </c:pt>
                <c:pt idx="7">
                  <c:v>Mogaung</c:v>
                </c:pt>
                <c:pt idx="8">
                  <c:v>Mohnyin</c:v>
                </c:pt>
                <c:pt idx="9">
                  <c:v>Momauk</c:v>
                </c:pt>
                <c:pt idx="10">
                  <c:v>Muse</c:v>
                </c:pt>
                <c:pt idx="11">
                  <c:v>Myitkyina</c:v>
                </c:pt>
                <c:pt idx="12">
                  <c:v>Namkham</c:v>
                </c:pt>
                <c:pt idx="13">
                  <c:v>Namtu</c:v>
                </c:pt>
                <c:pt idx="14">
                  <c:v>Puta-O</c:v>
                </c:pt>
                <c:pt idx="15">
                  <c:v>Shwegu</c:v>
                </c:pt>
                <c:pt idx="16">
                  <c:v>Waingmaw</c:v>
                </c:pt>
                <c:pt idx="17">
                  <c:v>Hseni</c:v>
                </c:pt>
              </c:strCache>
            </c:strRef>
          </c:cat>
          <c:val>
            <c:numRef>
              <c:f>SituationAnalysis!$C$375:$C$393</c:f>
              <c:numCache>
                <c:formatCode>0%</c:formatCode>
                <c:ptCount val="18"/>
                <c:pt idx="0">
                  <c:v>0.99515453373269835</c:v>
                </c:pt>
                <c:pt idx="1">
                  <c:v>0.98947713653596014</c:v>
                </c:pt>
                <c:pt idx="2">
                  <c:v>0.20683060109289617</c:v>
                </c:pt>
                <c:pt idx="3">
                  <c:v>0</c:v>
                </c:pt>
                <c:pt idx="4">
                  <c:v>0</c:v>
                </c:pt>
                <c:pt idx="5">
                  <c:v>0.8131350157038516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0.4520515136625281</c:v>
                </c:pt>
                <c:pt idx="10">
                  <c:v>0.89716089848645519</c:v>
                </c:pt>
                <c:pt idx="11">
                  <c:v>1</c:v>
                </c:pt>
                <c:pt idx="12">
                  <c:v>0.54005763688760811</c:v>
                </c:pt>
                <c:pt idx="13">
                  <c:v>0</c:v>
                </c:pt>
                <c:pt idx="14">
                  <c:v>0</c:v>
                </c:pt>
                <c:pt idx="15">
                  <c:v>0.87447320891029501</c:v>
                </c:pt>
                <c:pt idx="16">
                  <c:v>0.79710433354893273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5770504"/>
        <c:axId val="285770896"/>
        <c:axId val="0"/>
      </c:bar3DChart>
      <c:catAx>
        <c:axId val="28577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770896"/>
        <c:crosses val="autoZero"/>
        <c:auto val="1"/>
        <c:lblAlgn val="ctr"/>
        <c:lblOffset val="100"/>
        <c:noMultiLvlLbl val="0"/>
      </c:catAx>
      <c:valAx>
        <c:axId val="28577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77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algn="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</a:sp3d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[4Ws Wash_Matrix_KachinNorth Shan_Master.xlsx]SituationAnalysis!PivotTable15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Number of semi permanents latrine missing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</c:pivotFmts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bg1">
            <a:lumMod val="65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SituationAnalysis!$C$194:$C$195</c:f>
              <c:strCache>
                <c:ptCount val="1"/>
                <c:pt idx="0">
                  <c:v>GCA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SituationAnalysis!$B$196:$B$214</c:f>
              <c:strCache>
                <c:ptCount val="18"/>
                <c:pt idx="0">
                  <c:v>Bhamo</c:v>
                </c:pt>
                <c:pt idx="1">
                  <c:v>Chipwi</c:v>
                </c:pt>
                <c:pt idx="2">
                  <c:v>Hpakan</c:v>
                </c:pt>
                <c:pt idx="3">
                  <c:v>Kutkai</c:v>
                </c:pt>
                <c:pt idx="4">
                  <c:v>Machanbaw</c:v>
                </c:pt>
                <c:pt idx="5">
                  <c:v>Mansi</c:v>
                </c:pt>
                <c:pt idx="6">
                  <c:v>Manton</c:v>
                </c:pt>
                <c:pt idx="7">
                  <c:v>Mogaung</c:v>
                </c:pt>
                <c:pt idx="8">
                  <c:v>Mohnyin</c:v>
                </c:pt>
                <c:pt idx="9">
                  <c:v>Momauk</c:v>
                </c:pt>
                <c:pt idx="10">
                  <c:v>Muse</c:v>
                </c:pt>
                <c:pt idx="11">
                  <c:v>Myitkyina</c:v>
                </c:pt>
                <c:pt idx="12">
                  <c:v>Namkham</c:v>
                </c:pt>
                <c:pt idx="13">
                  <c:v>Namtu</c:v>
                </c:pt>
                <c:pt idx="14">
                  <c:v>Puta-O</c:v>
                </c:pt>
                <c:pt idx="15">
                  <c:v>Shwegu</c:v>
                </c:pt>
                <c:pt idx="16">
                  <c:v>Waingmaw</c:v>
                </c:pt>
                <c:pt idx="17">
                  <c:v>Hseni</c:v>
                </c:pt>
              </c:strCache>
            </c:strRef>
          </c:cat>
          <c:val>
            <c:numRef>
              <c:f>SituationAnalysis!$C$196:$C$214</c:f>
              <c:numCache>
                <c:formatCode>0</c:formatCode>
                <c:ptCount val="18"/>
                <c:pt idx="0">
                  <c:v>188</c:v>
                </c:pt>
                <c:pt idx="1">
                  <c:v>35.15</c:v>
                </c:pt>
                <c:pt idx="2">
                  <c:v>48.7</c:v>
                </c:pt>
                <c:pt idx="3">
                  <c:v>130.6</c:v>
                </c:pt>
                <c:pt idx="4">
                  <c:v>1.75</c:v>
                </c:pt>
                <c:pt idx="5">
                  <c:v>237.20000000000002</c:v>
                </c:pt>
                <c:pt idx="6">
                  <c:v>15.2</c:v>
                </c:pt>
                <c:pt idx="7">
                  <c:v>0</c:v>
                </c:pt>
                <c:pt idx="8">
                  <c:v>0.20000000000000018</c:v>
                </c:pt>
                <c:pt idx="9">
                  <c:v>105.99999999999997</c:v>
                </c:pt>
                <c:pt idx="10">
                  <c:v>27.3</c:v>
                </c:pt>
                <c:pt idx="11">
                  <c:v>46.7</c:v>
                </c:pt>
                <c:pt idx="12">
                  <c:v>55.05</c:v>
                </c:pt>
                <c:pt idx="13">
                  <c:v>2.6</c:v>
                </c:pt>
                <c:pt idx="14">
                  <c:v>8.4499999999999993</c:v>
                </c:pt>
                <c:pt idx="15">
                  <c:v>2.9000000000000004</c:v>
                </c:pt>
                <c:pt idx="16">
                  <c:v>77.349999999999994</c:v>
                </c:pt>
              </c:numCache>
            </c:numRef>
          </c:val>
        </c:ser>
        <c:ser>
          <c:idx val="1"/>
          <c:order val="1"/>
          <c:tx>
            <c:strRef>
              <c:f>SituationAnalysis!$D$194:$D$195</c:f>
              <c:strCache>
                <c:ptCount val="1"/>
                <c:pt idx="0">
                  <c:v>NGCA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SituationAnalysis!$B$196:$B$214</c:f>
              <c:strCache>
                <c:ptCount val="18"/>
                <c:pt idx="0">
                  <c:v>Bhamo</c:v>
                </c:pt>
                <c:pt idx="1">
                  <c:v>Chipwi</c:v>
                </c:pt>
                <c:pt idx="2">
                  <c:v>Hpakan</c:v>
                </c:pt>
                <c:pt idx="3">
                  <c:v>Kutkai</c:v>
                </c:pt>
                <c:pt idx="4">
                  <c:v>Machanbaw</c:v>
                </c:pt>
                <c:pt idx="5">
                  <c:v>Mansi</c:v>
                </c:pt>
                <c:pt idx="6">
                  <c:v>Manton</c:v>
                </c:pt>
                <c:pt idx="7">
                  <c:v>Mogaung</c:v>
                </c:pt>
                <c:pt idx="8">
                  <c:v>Mohnyin</c:v>
                </c:pt>
                <c:pt idx="9">
                  <c:v>Momauk</c:v>
                </c:pt>
                <c:pt idx="10">
                  <c:v>Muse</c:v>
                </c:pt>
                <c:pt idx="11">
                  <c:v>Myitkyina</c:v>
                </c:pt>
                <c:pt idx="12">
                  <c:v>Namkham</c:v>
                </c:pt>
                <c:pt idx="13">
                  <c:v>Namtu</c:v>
                </c:pt>
                <c:pt idx="14">
                  <c:v>Puta-O</c:v>
                </c:pt>
                <c:pt idx="15">
                  <c:v>Shwegu</c:v>
                </c:pt>
                <c:pt idx="16">
                  <c:v>Waingmaw</c:v>
                </c:pt>
                <c:pt idx="17">
                  <c:v>Hseni</c:v>
                </c:pt>
              </c:strCache>
            </c:strRef>
          </c:cat>
          <c:val>
            <c:numRef>
              <c:f>SituationAnalysis!$D$196:$D$214</c:f>
              <c:numCache>
                <c:formatCode>0</c:formatCode>
                <c:ptCount val="18"/>
                <c:pt idx="1">
                  <c:v>43.65</c:v>
                </c:pt>
                <c:pt idx="5">
                  <c:v>94.050000000000011</c:v>
                </c:pt>
                <c:pt idx="9">
                  <c:v>59.650000000000006</c:v>
                </c:pt>
                <c:pt idx="16">
                  <c:v>580.65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5771680"/>
        <c:axId val="38112984"/>
        <c:axId val="0"/>
      </c:bar3DChart>
      <c:catAx>
        <c:axId val="28577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12984"/>
        <c:crosses val="autoZero"/>
        <c:auto val="1"/>
        <c:lblAlgn val="ctr"/>
        <c:lblOffset val="100"/>
        <c:noMultiLvlLbl val="0"/>
      </c:catAx>
      <c:valAx>
        <c:axId val="38112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77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</a:sp3d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A758-DFDC-4EAE-811F-3A85BD60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Le Guillou</dc:creator>
  <cp:lastModifiedBy>Didier Boissavi</cp:lastModifiedBy>
  <cp:revision>49</cp:revision>
  <cp:lastPrinted>2015-05-15T02:39:00Z</cp:lastPrinted>
  <dcterms:created xsi:type="dcterms:W3CDTF">2015-04-10T06:18:00Z</dcterms:created>
  <dcterms:modified xsi:type="dcterms:W3CDTF">2015-05-15T08:37:00Z</dcterms:modified>
</cp:coreProperties>
</file>