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93" w:rsidRPr="00A82C72" w:rsidRDefault="00302593" w:rsidP="006C6742">
      <w:pPr>
        <w:jc w:val="both"/>
        <w:rPr>
          <w:rFonts w:cstheme="minorHAnsi"/>
        </w:rPr>
      </w:pPr>
    </w:p>
    <w:p w:rsidR="004A6FB1" w:rsidRPr="00A7669D" w:rsidRDefault="00A045BD" w:rsidP="00CD234C">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heme="minorHAnsi"/>
          <w:b/>
          <w:bCs/>
          <w:color w:val="FFFFFF" w:themeColor="background1"/>
          <w:sz w:val="28"/>
        </w:rPr>
      </w:pPr>
      <w:r w:rsidRPr="00A7669D">
        <w:rPr>
          <w:rFonts w:cstheme="minorHAnsi"/>
          <w:b/>
          <w:bCs/>
          <w:color w:val="FFFFFF" w:themeColor="background1"/>
          <w:sz w:val="28"/>
        </w:rPr>
        <w:t xml:space="preserve">STANDARDISED </w:t>
      </w:r>
      <w:r>
        <w:rPr>
          <w:rFonts w:cstheme="minorHAnsi"/>
          <w:b/>
          <w:bCs/>
          <w:color w:val="FFFFFF" w:themeColor="background1"/>
          <w:sz w:val="28"/>
        </w:rPr>
        <w:t>BATHING FACILITIES</w:t>
      </w:r>
    </w:p>
    <w:p w:rsidR="004A6FB1" w:rsidRPr="00A82C72" w:rsidRDefault="004A6FB1" w:rsidP="006C6742">
      <w:pPr>
        <w:jc w:val="both"/>
        <w:rPr>
          <w:rFonts w:cstheme="minorHAnsi"/>
        </w:rPr>
      </w:pPr>
    </w:p>
    <w:tbl>
      <w:tblPr>
        <w:tblW w:w="0" w:type="auto"/>
        <w:tblInd w:w="12"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000"/>
      </w:tblPr>
      <w:tblGrid>
        <w:gridCol w:w="9516"/>
      </w:tblGrid>
      <w:tr w:rsidR="004A6FB1" w:rsidRPr="00A82C72" w:rsidTr="00CD234C">
        <w:trPr>
          <w:trHeight w:val="3156"/>
        </w:trPr>
        <w:tc>
          <w:tcPr>
            <w:tcW w:w="9516" w:type="dxa"/>
            <w:shd w:val="clear" w:color="auto" w:fill="C6D9F1" w:themeFill="text2" w:themeFillTint="33"/>
            <w:vAlign w:val="center"/>
          </w:tcPr>
          <w:p w:rsidR="00CA7D06" w:rsidRDefault="004A6FB1" w:rsidP="00A7669D">
            <w:pPr>
              <w:rPr>
                <w:rFonts w:cstheme="minorHAnsi"/>
              </w:rPr>
            </w:pPr>
            <w:r w:rsidRPr="00A82C72">
              <w:rPr>
                <w:rFonts w:cstheme="minorHAnsi"/>
                <w:color w:val="808080" w:themeColor="background1" w:themeShade="80"/>
              </w:rPr>
              <w:t>Produce</w:t>
            </w:r>
            <w:r w:rsidR="00CD0F52" w:rsidRPr="00A82C72">
              <w:rPr>
                <w:rFonts w:cstheme="minorHAnsi"/>
                <w:color w:val="808080" w:themeColor="background1" w:themeShade="80"/>
              </w:rPr>
              <w:t>d</w:t>
            </w:r>
            <w:r w:rsidRPr="00A82C72">
              <w:rPr>
                <w:rFonts w:cstheme="minorHAnsi"/>
                <w:color w:val="808080" w:themeColor="background1" w:themeShade="80"/>
              </w:rPr>
              <w:t xml:space="preserve"> by</w:t>
            </w:r>
            <w:r w:rsidR="00A7669D">
              <w:rPr>
                <w:rFonts w:cstheme="minorHAnsi"/>
                <w:color w:val="808080" w:themeColor="background1" w:themeShade="80"/>
              </w:rPr>
              <w:t xml:space="preserve">        </w:t>
            </w:r>
            <w:r w:rsidR="00CA7D06">
              <w:rPr>
                <w:rFonts w:cstheme="minorHAnsi"/>
                <w:color w:val="808080" w:themeColor="background1" w:themeShade="80"/>
              </w:rPr>
              <w:t xml:space="preserve">  </w:t>
            </w:r>
            <w:r w:rsidR="00A7669D">
              <w:rPr>
                <w:rFonts w:cstheme="minorHAnsi"/>
                <w:color w:val="808080" w:themeColor="background1" w:themeShade="80"/>
              </w:rPr>
              <w:t xml:space="preserve">  </w:t>
            </w:r>
            <w:r w:rsidRPr="00A82C72">
              <w:rPr>
                <w:rFonts w:cstheme="minorHAnsi"/>
                <w:color w:val="808080" w:themeColor="background1" w:themeShade="80"/>
              </w:rPr>
              <w:t xml:space="preserve">: </w:t>
            </w:r>
            <w:r w:rsidR="00DA19A2" w:rsidRPr="00A82C72">
              <w:rPr>
                <w:rFonts w:cstheme="minorHAnsi"/>
              </w:rPr>
              <w:tab/>
            </w:r>
            <w:r w:rsidR="00DA19A2" w:rsidRPr="00A82C72">
              <w:rPr>
                <w:rFonts w:cstheme="minorHAnsi"/>
              </w:rPr>
              <w:tab/>
              <w:t xml:space="preserve">WASH Cluster </w:t>
            </w:r>
          </w:p>
          <w:p w:rsidR="004A6FB1" w:rsidRPr="00A82C72" w:rsidRDefault="00CA7D06" w:rsidP="00A7669D">
            <w:pPr>
              <w:rPr>
                <w:rFonts w:cstheme="minorHAnsi"/>
              </w:rPr>
            </w:pPr>
            <w:r w:rsidRPr="00CA7D06">
              <w:rPr>
                <w:rFonts w:cstheme="minorHAnsi"/>
                <w:color w:val="808080" w:themeColor="background1" w:themeShade="80"/>
              </w:rPr>
              <w:t>Specific Support</w:t>
            </w:r>
            <w:r>
              <w:rPr>
                <w:rFonts w:cstheme="minorHAnsi"/>
              </w:rPr>
              <w:t xml:space="preserve">    </w:t>
            </w:r>
            <w:r w:rsidRPr="00CC1A0C">
              <w:rPr>
                <w:rFonts w:cstheme="minorHAnsi"/>
                <w:color w:val="808080" w:themeColor="background1" w:themeShade="80"/>
              </w:rPr>
              <w:t xml:space="preserve"> :</w:t>
            </w:r>
            <w:r w:rsidR="00A86681">
              <w:rPr>
                <w:rFonts w:cstheme="minorHAnsi"/>
              </w:rPr>
              <w:t xml:space="preserve">                       </w:t>
            </w:r>
            <w:r>
              <w:rPr>
                <w:rFonts w:cstheme="minorHAnsi"/>
              </w:rPr>
              <w:t>Solidarities International</w:t>
            </w:r>
          </w:p>
          <w:p w:rsidR="004A6FB1" w:rsidRPr="00A82C72" w:rsidRDefault="004A6FB1" w:rsidP="00A7669D">
            <w:pPr>
              <w:rPr>
                <w:rFonts w:cstheme="minorHAnsi"/>
              </w:rPr>
            </w:pPr>
            <w:r w:rsidRPr="00A82C72">
              <w:rPr>
                <w:rFonts w:cstheme="minorHAnsi"/>
                <w:color w:val="808080" w:themeColor="background1" w:themeShade="80"/>
              </w:rPr>
              <w:t>Type organization</w:t>
            </w:r>
            <w:r w:rsidR="00CA7D06">
              <w:rPr>
                <w:rFonts w:cstheme="minorHAnsi"/>
                <w:color w:val="808080" w:themeColor="background1" w:themeShade="80"/>
              </w:rPr>
              <w:t xml:space="preserve">  </w:t>
            </w:r>
            <w:r w:rsidRPr="00A82C72">
              <w:rPr>
                <w:rFonts w:cstheme="minorHAnsi"/>
                <w:color w:val="808080" w:themeColor="background1" w:themeShade="80"/>
              </w:rPr>
              <w:t>:</w:t>
            </w:r>
            <w:r w:rsidRPr="00A82C72">
              <w:rPr>
                <w:rFonts w:cstheme="minorHAnsi"/>
              </w:rPr>
              <w:tab/>
            </w:r>
            <w:r w:rsidRPr="00A82C72">
              <w:rPr>
                <w:rFonts w:cstheme="minorHAnsi"/>
              </w:rPr>
              <w:tab/>
            </w:r>
            <w:r w:rsidR="00DA19A2" w:rsidRPr="00A82C72">
              <w:rPr>
                <w:rFonts w:cstheme="minorHAnsi"/>
              </w:rPr>
              <w:t>INGOs</w:t>
            </w:r>
          </w:p>
          <w:p w:rsidR="00ED1821" w:rsidRPr="00A82C72" w:rsidRDefault="00ED1821" w:rsidP="00A7669D">
            <w:pPr>
              <w:rPr>
                <w:rFonts w:cstheme="minorHAnsi"/>
              </w:rPr>
            </w:pPr>
            <w:r w:rsidRPr="00A82C72">
              <w:rPr>
                <w:rFonts w:cstheme="minorHAnsi"/>
                <w:color w:val="808080" w:themeColor="background1" w:themeShade="80"/>
              </w:rPr>
              <w:t>Subject</w:t>
            </w:r>
            <w:r w:rsidR="00A7669D">
              <w:rPr>
                <w:rFonts w:cstheme="minorHAnsi"/>
                <w:color w:val="808080" w:themeColor="background1" w:themeShade="80"/>
              </w:rPr>
              <w:t xml:space="preserve">                  </w:t>
            </w:r>
            <w:r w:rsidR="00CA7D06">
              <w:rPr>
                <w:rFonts w:cstheme="minorHAnsi"/>
                <w:color w:val="808080" w:themeColor="background1" w:themeShade="80"/>
              </w:rPr>
              <w:t xml:space="preserve">  </w:t>
            </w:r>
            <w:r w:rsidR="00A7669D">
              <w:rPr>
                <w:rFonts w:cstheme="minorHAnsi"/>
                <w:color w:val="808080" w:themeColor="background1" w:themeShade="80"/>
              </w:rPr>
              <w:t xml:space="preserve"> </w:t>
            </w:r>
            <w:r w:rsidRPr="00A82C72">
              <w:rPr>
                <w:rFonts w:cstheme="minorHAnsi"/>
                <w:color w:val="808080" w:themeColor="background1" w:themeShade="80"/>
              </w:rPr>
              <w:t>:</w:t>
            </w:r>
            <w:r w:rsidRPr="00A82C72">
              <w:rPr>
                <w:rFonts w:cstheme="minorHAnsi"/>
                <w:color w:val="808080" w:themeColor="background1" w:themeShade="80"/>
              </w:rPr>
              <w:tab/>
            </w:r>
            <w:r w:rsidRPr="00A82C72">
              <w:rPr>
                <w:rFonts w:cstheme="minorHAnsi"/>
                <w:color w:val="808080" w:themeColor="background1" w:themeShade="80"/>
              </w:rPr>
              <w:tab/>
            </w:r>
            <w:r w:rsidR="00297C7B" w:rsidRPr="00A82C72">
              <w:rPr>
                <w:rFonts w:cstheme="minorHAnsi"/>
              </w:rPr>
              <w:t>Sanitation</w:t>
            </w:r>
            <w:r w:rsidR="00267F19" w:rsidRPr="00A82C72">
              <w:rPr>
                <w:rFonts w:cstheme="minorHAnsi"/>
              </w:rPr>
              <w:t>-</w:t>
            </w:r>
            <w:r w:rsidR="00297C7B" w:rsidRPr="00A82C72">
              <w:rPr>
                <w:rFonts w:cstheme="minorHAnsi"/>
              </w:rPr>
              <w:t xml:space="preserve"> </w:t>
            </w:r>
            <w:r w:rsidR="00CA7D06">
              <w:rPr>
                <w:rFonts w:cstheme="minorHAnsi"/>
              </w:rPr>
              <w:t>Bathing Facilities</w:t>
            </w:r>
          </w:p>
          <w:p w:rsidR="004A6FB1" w:rsidRDefault="00CA7D06" w:rsidP="00CA7D06">
            <w:pPr>
              <w:rPr>
                <w:rFonts w:cstheme="minorHAnsi"/>
              </w:rPr>
            </w:pPr>
            <w:r>
              <w:rPr>
                <w:rFonts w:cstheme="minorHAnsi"/>
                <w:color w:val="808080" w:themeColor="background1" w:themeShade="80"/>
              </w:rPr>
              <w:t xml:space="preserve">Created                   </w:t>
            </w:r>
            <w:r w:rsidR="00A7669D">
              <w:rPr>
                <w:rFonts w:cstheme="minorHAnsi"/>
                <w:color w:val="808080" w:themeColor="background1" w:themeShade="80"/>
              </w:rPr>
              <w:t xml:space="preserve"> </w:t>
            </w:r>
            <w:r w:rsidR="004A6FB1" w:rsidRPr="00A82C72">
              <w:rPr>
                <w:rFonts w:cstheme="minorHAnsi"/>
                <w:color w:val="808080" w:themeColor="background1" w:themeShade="80"/>
              </w:rPr>
              <w:t>:</w:t>
            </w:r>
            <w:r w:rsidR="004A6FB1" w:rsidRPr="00A82C72">
              <w:rPr>
                <w:rFonts w:cstheme="minorHAnsi"/>
              </w:rPr>
              <w:tab/>
            </w:r>
            <w:r w:rsidR="004A6FB1" w:rsidRPr="00A82C72">
              <w:rPr>
                <w:rFonts w:cstheme="minorHAnsi"/>
              </w:rPr>
              <w:tab/>
            </w:r>
            <w:r w:rsidR="00297C7B" w:rsidRPr="00A82C72">
              <w:rPr>
                <w:rFonts w:cstheme="minorHAnsi"/>
              </w:rPr>
              <w:t>2013</w:t>
            </w:r>
          </w:p>
          <w:p w:rsidR="00CA7D06" w:rsidRDefault="00CA7D06" w:rsidP="00CA7D06">
            <w:pPr>
              <w:rPr>
                <w:rFonts w:cstheme="minorHAnsi"/>
              </w:rPr>
            </w:pPr>
            <w:r w:rsidRPr="00CC1A0C">
              <w:rPr>
                <w:rFonts w:cstheme="minorHAnsi"/>
                <w:color w:val="808080" w:themeColor="background1" w:themeShade="80"/>
              </w:rPr>
              <w:t>Updated                   :</w:t>
            </w:r>
            <w:r w:rsidR="00FC1372">
              <w:rPr>
                <w:rFonts w:cstheme="minorHAnsi"/>
                <w:color w:val="808080" w:themeColor="background1" w:themeShade="80"/>
              </w:rPr>
              <w:t xml:space="preserve">                      </w:t>
            </w:r>
            <w:r w:rsidR="00FC1372" w:rsidRPr="00FC1372">
              <w:rPr>
                <w:rFonts w:cstheme="minorHAnsi"/>
              </w:rPr>
              <w:t>March 2014</w:t>
            </w:r>
          </w:p>
          <w:p w:rsidR="00A045BD" w:rsidRPr="00CC1A0C" w:rsidRDefault="00A045BD" w:rsidP="00A045BD">
            <w:pPr>
              <w:rPr>
                <w:rFonts w:cstheme="minorHAnsi"/>
                <w:color w:val="808080" w:themeColor="background1" w:themeShade="80"/>
              </w:rPr>
            </w:pPr>
            <w:r w:rsidRPr="00062807">
              <w:rPr>
                <w:rFonts w:cstheme="minorHAnsi"/>
                <w:color w:val="808080" w:themeColor="background1" w:themeShade="80"/>
                <w:sz w:val="24"/>
                <w:szCs w:val="24"/>
              </w:rPr>
              <w:t>Resource</w:t>
            </w:r>
            <w:r>
              <w:rPr>
                <w:rFonts w:cstheme="minorHAnsi"/>
                <w:color w:val="808080" w:themeColor="background1" w:themeShade="80"/>
                <w:sz w:val="24"/>
                <w:szCs w:val="24"/>
              </w:rPr>
              <w:tab/>
              <w:t xml:space="preserve">     </w:t>
            </w:r>
            <w:r w:rsidRPr="00062807">
              <w:rPr>
                <w:rFonts w:cstheme="minorHAnsi"/>
                <w:color w:val="808080" w:themeColor="background1" w:themeShade="80"/>
                <w:sz w:val="24"/>
                <w:szCs w:val="24"/>
              </w:rPr>
              <w:t>:</w:t>
            </w:r>
            <w:r w:rsidRPr="00062807">
              <w:rPr>
                <w:rFonts w:cstheme="minorHAnsi"/>
                <w:sz w:val="24"/>
                <w:szCs w:val="24"/>
              </w:rPr>
              <w:t xml:space="preserve">                 </w:t>
            </w:r>
            <w:r>
              <w:rPr>
                <w:rFonts w:cstheme="minorHAnsi"/>
                <w:sz w:val="24"/>
                <w:szCs w:val="24"/>
              </w:rPr>
              <w:t xml:space="preserve">  </w:t>
            </w:r>
            <w:r w:rsidRPr="00062807">
              <w:rPr>
                <w:rFonts w:cstheme="minorHAnsi"/>
                <w:sz w:val="24"/>
                <w:szCs w:val="24"/>
              </w:rPr>
              <w:t xml:space="preserve"> http://www.themimu.info/emergencies/wash-cluster</w:t>
            </w:r>
          </w:p>
        </w:tc>
      </w:tr>
    </w:tbl>
    <w:p w:rsidR="004A6FB1" w:rsidRPr="00A82C72" w:rsidRDefault="003E1B31" w:rsidP="00EA5882">
      <w:pPr>
        <w:jc w:val="center"/>
        <w:rPr>
          <w:rFonts w:cstheme="minorHAnsi"/>
        </w:rPr>
      </w:pPr>
      <w:r w:rsidRPr="003E1B31">
        <w:rPr>
          <w:rFonts w:cstheme="minorHAnsi"/>
          <w:i/>
          <w:noProof/>
        </w:rPr>
        <w:pict>
          <v:rect id="_x0000_s1026" style="position:absolute;left:0;text-align:left;margin-left:.75pt;margin-top:287.6pt;width:464.25pt;height:75pt;z-index:251658240;mso-position-horizontal-relative:text;mso-position-vertical-relative:text" fillcolor="white [3201]" strokecolor="#95b3d7 [1940]" strokeweight="2.5pt">
            <v:shadow color="#868686"/>
            <v:textbox>
              <w:txbxContent>
                <w:p w:rsidR="00F825DE" w:rsidRDefault="00F825DE" w:rsidP="00F825DE">
                  <w:pPr>
                    <w:jc w:val="both"/>
                  </w:pPr>
                  <w:r w:rsidRPr="00F825DE">
                    <w:rPr>
                      <w:noProof/>
                    </w:rPr>
                    <w:drawing>
                      <wp:inline distT="0" distB="0" distL="0" distR="0">
                        <wp:extent cx="1920240" cy="590550"/>
                        <wp:effectExtent l="19050" t="0" r="3810" b="0"/>
                        <wp:docPr id="2"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8"/>
                                <a:srcRect/>
                                <a:stretch>
                                  <a:fillRect/>
                                </a:stretch>
                              </pic:blipFill>
                              <pic:spPr bwMode="auto">
                                <a:xfrm>
                                  <a:off x="0" y="0"/>
                                  <a:ext cx="1920240" cy="590550"/>
                                </a:xfrm>
                                <a:prstGeom prst="rect">
                                  <a:avLst/>
                                </a:prstGeom>
                                <a:noFill/>
                                <a:ln w="9525">
                                  <a:noFill/>
                                  <a:miter lim="800000"/>
                                  <a:headEnd/>
                                  <a:tailEnd/>
                                </a:ln>
                              </pic:spPr>
                            </pic:pic>
                          </a:graphicData>
                        </a:graphic>
                      </wp:inline>
                    </w:drawing>
                  </w:r>
                  <w:r>
                    <w:tab/>
                  </w:r>
                  <w:r>
                    <w:tab/>
                  </w:r>
                  <w:r>
                    <w:tab/>
                  </w:r>
                  <w:r>
                    <w:tab/>
                  </w:r>
                  <w:r>
                    <w:tab/>
                  </w:r>
                  <w:r w:rsidR="00BB1EA0">
                    <w:rPr>
                      <w:noProof/>
                    </w:rPr>
                    <w:drawing>
                      <wp:inline distT="0" distB="0" distL="0" distR="0">
                        <wp:extent cx="972589" cy="82296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72589" cy="822960"/>
                                </a:xfrm>
                                <a:prstGeom prst="rect">
                                  <a:avLst/>
                                </a:prstGeom>
                                <a:noFill/>
                                <a:ln w="9525">
                                  <a:noFill/>
                                  <a:miter lim="800000"/>
                                  <a:headEnd/>
                                  <a:tailEnd/>
                                </a:ln>
                              </pic:spPr>
                            </pic:pic>
                          </a:graphicData>
                        </a:graphic>
                      </wp:inline>
                    </w:drawing>
                  </w:r>
                  <w:r w:rsidR="00BB1EA0" w:rsidRPr="00BB1EA0">
                    <w:rPr>
                      <w:noProof/>
                    </w:rPr>
                    <w:t xml:space="preserve"> </w:t>
                  </w:r>
                </w:p>
              </w:txbxContent>
            </v:textbox>
          </v:rect>
        </w:pict>
      </w:r>
      <w:r w:rsidR="00B95966">
        <w:rPr>
          <w:rFonts w:cstheme="minorHAnsi"/>
          <w:i/>
          <w:noProof/>
        </w:rPr>
        <w:drawing>
          <wp:inline distT="0" distB="0" distL="0" distR="0">
            <wp:extent cx="4572000" cy="3429000"/>
            <wp:effectExtent l="114300" t="76200" r="95250" b="76200"/>
            <wp:docPr id="7" name="Picture 1" descr="IMG_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1.JPG"/>
                    <pic:cNvPicPr/>
                  </pic:nvPicPr>
                  <pic:blipFill>
                    <a:blip r:embed="rId10" cstate="print"/>
                    <a:stretch>
                      <a:fillRect/>
                    </a:stretch>
                  </pic:blipFill>
                  <pic:spPr>
                    <a:xfrm>
                      <a:off x="0" y="0"/>
                      <a:ext cx="4572000" cy="342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6FB1" w:rsidRPr="00A82C72" w:rsidRDefault="004A6FB1" w:rsidP="006C6742">
      <w:pPr>
        <w:jc w:val="both"/>
        <w:rPr>
          <w:rFonts w:cstheme="minorHAnsi"/>
        </w:rPr>
      </w:pPr>
    </w:p>
    <w:p w:rsidR="00ED1821" w:rsidRPr="00A82C72" w:rsidRDefault="00ED1821" w:rsidP="006C6742">
      <w:pPr>
        <w:jc w:val="both"/>
        <w:rPr>
          <w:rFonts w:cstheme="minorHAnsi"/>
          <w:i/>
        </w:rPr>
      </w:pPr>
    </w:p>
    <w:p w:rsidR="00DA19A2" w:rsidRPr="00A82C72" w:rsidRDefault="00267F19" w:rsidP="007C2CF4">
      <w:pPr>
        <w:pStyle w:val="Subtitle"/>
        <w:pBdr>
          <w:bottom w:val="thinThickSmallGap" w:sz="18" w:space="1" w:color="4F81BD" w:themeColor="accent1"/>
        </w:pBdr>
        <w:jc w:val="both"/>
        <w:rPr>
          <w:rFonts w:asciiTheme="minorHAnsi" w:hAnsiTheme="minorHAnsi" w:cstheme="minorHAnsi"/>
          <w:sz w:val="22"/>
          <w:szCs w:val="22"/>
        </w:rPr>
      </w:pPr>
      <w:r w:rsidRPr="00A82C72">
        <w:rPr>
          <w:rFonts w:asciiTheme="minorHAnsi" w:hAnsiTheme="minorHAnsi" w:cstheme="minorHAnsi"/>
          <w:sz w:val="22"/>
          <w:szCs w:val="22"/>
        </w:rPr>
        <w:t>Background</w:t>
      </w:r>
    </w:p>
    <w:p w:rsidR="00DA19A2" w:rsidRPr="00A82C72" w:rsidRDefault="00DA19A2" w:rsidP="002A4BE9">
      <w:pPr>
        <w:ind w:firstLine="360"/>
        <w:jc w:val="both"/>
        <w:rPr>
          <w:rFonts w:cstheme="minorHAnsi"/>
        </w:rPr>
      </w:pPr>
      <w:r w:rsidRPr="005865A0">
        <w:rPr>
          <w:rFonts w:cstheme="minorHAnsi"/>
        </w:rPr>
        <w:lastRenderedPageBreak/>
        <w:t>The purpose of this documen</w:t>
      </w:r>
      <w:r w:rsidR="00AF34C0" w:rsidRPr="005865A0">
        <w:rPr>
          <w:rFonts w:cstheme="minorHAnsi"/>
        </w:rPr>
        <w:t xml:space="preserve">t is to </w:t>
      </w:r>
      <w:r w:rsidR="002A4BE9">
        <w:rPr>
          <w:rFonts w:cstheme="minorHAnsi"/>
        </w:rPr>
        <w:t>formalize the design of bathing facilities provided during th</w:t>
      </w:r>
      <w:r w:rsidR="005865A0">
        <w:rPr>
          <w:rFonts w:cstheme="minorHAnsi"/>
        </w:rPr>
        <w:t xml:space="preserve">e Rakhine and Kachin emergency. As it is hard to standardise the design of the bathing facilities due to the availability of the space, the location of the camp and the preferences of the affected communities, there are differences in the design and the number of cubicles included in one bathing facilities. </w:t>
      </w:r>
      <w:r w:rsidR="007549A5">
        <w:rPr>
          <w:rFonts w:cstheme="minorHAnsi"/>
        </w:rPr>
        <w:t>However, the general features of all bathing facilities documented are conceptually similar. Thus, t</w:t>
      </w:r>
      <w:r w:rsidR="005865A0">
        <w:rPr>
          <w:rFonts w:cstheme="minorHAnsi"/>
        </w:rPr>
        <w:t>his document keeps the design which has been commonly discussed among the WASH cluster members in order for easy refer</w:t>
      </w:r>
      <w:r w:rsidR="00587E78">
        <w:rPr>
          <w:rFonts w:cstheme="minorHAnsi"/>
        </w:rPr>
        <w:t>e</w:t>
      </w:r>
      <w:r w:rsidR="005865A0">
        <w:rPr>
          <w:rFonts w:cstheme="minorHAnsi"/>
        </w:rPr>
        <w:t>nce.</w:t>
      </w:r>
    </w:p>
    <w:p w:rsidR="008758CA" w:rsidRDefault="008758CA" w:rsidP="007C2CF4">
      <w:pPr>
        <w:pStyle w:val="Subtitle"/>
        <w:pBdr>
          <w:bottom w:val="thinThickSmallGap" w:sz="18" w:space="1" w:color="4F81BD" w:themeColor="accent1"/>
        </w:pBdr>
        <w:jc w:val="both"/>
      </w:pPr>
      <w:r>
        <w:t>Particular</w:t>
      </w:r>
      <w:r w:rsidR="006C6742">
        <w:t>s</w:t>
      </w:r>
      <w:r>
        <w:t xml:space="preserve"> of the Design</w:t>
      </w:r>
    </w:p>
    <w:p w:rsidR="00A7669D" w:rsidRDefault="00533BBA" w:rsidP="00DF0612">
      <w:pPr>
        <w:ind w:firstLine="360"/>
        <w:jc w:val="both"/>
      </w:pPr>
      <w:r>
        <w:t>Ideally, bathing facilities are usually provided for both men and women. After consulting with the communities (mainly for Rakhine), men usually do not use the bathing facilities and women prefer individual bathroom.</w:t>
      </w:r>
      <w:r w:rsidR="00FC1372">
        <w:t xml:space="preserve"> </w:t>
      </w:r>
      <w:r w:rsidR="00F20958">
        <w:t xml:space="preserve">However, it was agreed with the communities that the individual cubicles </w:t>
      </w:r>
      <w:r w:rsidR="00FC1372">
        <w:t>will be included in the design.</w:t>
      </w:r>
    </w:p>
    <w:tbl>
      <w:tblPr>
        <w:tblStyle w:val="LightShading-Accent1"/>
        <w:tblW w:w="0" w:type="auto"/>
        <w:tblLook w:val="04A0"/>
      </w:tblPr>
      <w:tblGrid>
        <w:gridCol w:w="558"/>
        <w:gridCol w:w="1800"/>
        <w:gridCol w:w="4050"/>
        <w:gridCol w:w="3168"/>
      </w:tblGrid>
      <w:tr w:rsidR="008C5E35" w:rsidTr="002C35D4">
        <w:trPr>
          <w:cnfStyle w:val="100000000000"/>
        </w:trPr>
        <w:tc>
          <w:tcPr>
            <w:cnfStyle w:val="001000000000"/>
            <w:tcW w:w="558" w:type="dxa"/>
          </w:tcPr>
          <w:p w:rsidR="008C5E35" w:rsidRPr="00767DA3" w:rsidRDefault="008C5E35" w:rsidP="00A7669D">
            <w:pPr>
              <w:jc w:val="both"/>
              <w:rPr>
                <w:b w:val="0"/>
              </w:rPr>
            </w:pPr>
            <w:r w:rsidRPr="00767DA3">
              <w:t>No.</w:t>
            </w:r>
          </w:p>
        </w:tc>
        <w:tc>
          <w:tcPr>
            <w:tcW w:w="1800" w:type="dxa"/>
          </w:tcPr>
          <w:p w:rsidR="008C5E35" w:rsidRPr="00767DA3" w:rsidRDefault="006F495D" w:rsidP="00A7669D">
            <w:pPr>
              <w:jc w:val="both"/>
              <w:cnfStyle w:val="100000000000"/>
              <w:rPr>
                <w:b w:val="0"/>
              </w:rPr>
            </w:pPr>
            <w:r>
              <w:t>Particular of the design</w:t>
            </w:r>
          </w:p>
        </w:tc>
        <w:tc>
          <w:tcPr>
            <w:tcW w:w="4050" w:type="dxa"/>
          </w:tcPr>
          <w:p w:rsidR="008C5E35" w:rsidRPr="00767DA3" w:rsidRDefault="008C5E35" w:rsidP="00A7669D">
            <w:pPr>
              <w:jc w:val="both"/>
              <w:cnfStyle w:val="100000000000"/>
              <w:rPr>
                <w:b w:val="0"/>
              </w:rPr>
            </w:pPr>
            <w:r w:rsidRPr="00767DA3">
              <w:t xml:space="preserve"> </w:t>
            </w:r>
            <w:r w:rsidR="006F495D">
              <w:t>Specifications for design</w:t>
            </w:r>
          </w:p>
        </w:tc>
        <w:tc>
          <w:tcPr>
            <w:tcW w:w="3168" w:type="dxa"/>
          </w:tcPr>
          <w:p w:rsidR="008C5E35" w:rsidRPr="00767DA3" w:rsidRDefault="008C5E35" w:rsidP="00A7669D">
            <w:pPr>
              <w:jc w:val="both"/>
              <w:cnfStyle w:val="100000000000"/>
              <w:rPr>
                <w:b w:val="0"/>
              </w:rPr>
            </w:pPr>
            <w:r w:rsidRPr="00767DA3">
              <w:t>Remark</w:t>
            </w:r>
          </w:p>
        </w:tc>
      </w:tr>
      <w:tr w:rsidR="008C5E35" w:rsidTr="002C35D4">
        <w:trPr>
          <w:cnfStyle w:val="000000100000"/>
        </w:trPr>
        <w:tc>
          <w:tcPr>
            <w:cnfStyle w:val="001000000000"/>
            <w:tcW w:w="558" w:type="dxa"/>
          </w:tcPr>
          <w:p w:rsidR="008C5E35" w:rsidRDefault="004B0671" w:rsidP="00A7669D">
            <w:pPr>
              <w:jc w:val="both"/>
            </w:pPr>
            <w:r>
              <w:t>1.</w:t>
            </w:r>
          </w:p>
        </w:tc>
        <w:tc>
          <w:tcPr>
            <w:tcW w:w="1800" w:type="dxa"/>
          </w:tcPr>
          <w:p w:rsidR="008C5E35" w:rsidRDefault="00620A63" w:rsidP="00A7669D">
            <w:pPr>
              <w:jc w:val="both"/>
              <w:cnfStyle w:val="000000100000"/>
            </w:pPr>
            <w:r>
              <w:t>Floor</w:t>
            </w:r>
          </w:p>
        </w:tc>
        <w:tc>
          <w:tcPr>
            <w:tcW w:w="4050" w:type="dxa"/>
          </w:tcPr>
          <w:p w:rsidR="008C5E35" w:rsidRDefault="00620A63" w:rsidP="00620A63">
            <w:pPr>
              <w:jc w:val="both"/>
              <w:cnfStyle w:val="000000100000"/>
            </w:pPr>
            <w:r>
              <w:t>The flooring for the bathing area (20ft x 16ft) will be constructed using two types of flooring; a central concrete slab (14ft x 10ft) and a surrounding gravel interior walkway 3ft wide.</w:t>
            </w:r>
          </w:p>
        </w:tc>
        <w:tc>
          <w:tcPr>
            <w:tcW w:w="3168" w:type="dxa"/>
          </w:tcPr>
          <w:p w:rsidR="008C5E35" w:rsidRDefault="008C5E35" w:rsidP="00A7669D">
            <w:pPr>
              <w:jc w:val="both"/>
              <w:cnfStyle w:val="000000100000"/>
            </w:pPr>
          </w:p>
        </w:tc>
      </w:tr>
      <w:tr w:rsidR="008C5E35" w:rsidTr="002C35D4">
        <w:tc>
          <w:tcPr>
            <w:cnfStyle w:val="001000000000"/>
            <w:tcW w:w="558" w:type="dxa"/>
          </w:tcPr>
          <w:p w:rsidR="008C5E35" w:rsidRDefault="004B0671" w:rsidP="00A7669D">
            <w:pPr>
              <w:jc w:val="both"/>
            </w:pPr>
            <w:r>
              <w:t>2.</w:t>
            </w:r>
          </w:p>
        </w:tc>
        <w:tc>
          <w:tcPr>
            <w:tcW w:w="1800" w:type="dxa"/>
          </w:tcPr>
          <w:p w:rsidR="008C5E35" w:rsidRDefault="001E357E" w:rsidP="00A7669D">
            <w:pPr>
              <w:jc w:val="both"/>
              <w:cnfStyle w:val="000000000000"/>
            </w:pPr>
            <w:r>
              <w:t>Main Bathing Area</w:t>
            </w:r>
          </w:p>
        </w:tc>
        <w:tc>
          <w:tcPr>
            <w:tcW w:w="4050" w:type="dxa"/>
          </w:tcPr>
          <w:p w:rsidR="008C5E35" w:rsidRDefault="001E357E" w:rsidP="001E357E">
            <w:pPr>
              <w:jc w:val="both"/>
              <w:cnfStyle w:val="000000000000"/>
            </w:pPr>
            <w:r>
              <w:t>The main bathing area will be a concrete slab of 3" thickness laid on a bed of compacted course sand (5"). The dimensions of the concrete slab will be 14ft x 10ft.</w:t>
            </w:r>
          </w:p>
        </w:tc>
        <w:tc>
          <w:tcPr>
            <w:tcW w:w="3168" w:type="dxa"/>
          </w:tcPr>
          <w:p w:rsidR="008C5E35" w:rsidRDefault="001057FA" w:rsidP="001057FA">
            <w:pPr>
              <w:jc w:val="both"/>
              <w:cnfStyle w:val="000000000000"/>
            </w:pPr>
            <w:r>
              <w:t>The slab will be laid ensuring a 2% drainage slope towards this drainage channel.</w:t>
            </w:r>
          </w:p>
        </w:tc>
      </w:tr>
      <w:tr w:rsidR="008C5E35" w:rsidTr="002C35D4">
        <w:trPr>
          <w:cnfStyle w:val="000000100000"/>
        </w:trPr>
        <w:tc>
          <w:tcPr>
            <w:cnfStyle w:val="001000000000"/>
            <w:tcW w:w="558" w:type="dxa"/>
          </w:tcPr>
          <w:p w:rsidR="008C5E35" w:rsidRDefault="004B0671" w:rsidP="00A7669D">
            <w:pPr>
              <w:jc w:val="both"/>
            </w:pPr>
            <w:r>
              <w:t>3.</w:t>
            </w:r>
          </w:p>
        </w:tc>
        <w:tc>
          <w:tcPr>
            <w:tcW w:w="1800" w:type="dxa"/>
          </w:tcPr>
          <w:p w:rsidR="008C5E35" w:rsidRDefault="00C23499" w:rsidP="00C23499">
            <w:pPr>
              <w:cnfStyle w:val="000000100000"/>
            </w:pPr>
            <w:r>
              <w:t xml:space="preserve">Gravel </w:t>
            </w:r>
            <w:r w:rsidRPr="00C23499">
              <w:t>pathway surrounding the main bathing area</w:t>
            </w:r>
          </w:p>
        </w:tc>
        <w:tc>
          <w:tcPr>
            <w:tcW w:w="4050" w:type="dxa"/>
          </w:tcPr>
          <w:p w:rsidR="008C5E35" w:rsidRPr="001C5AEA" w:rsidRDefault="001C5AEA" w:rsidP="006F495D">
            <w:pPr>
              <w:autoSpaceDE w:val="0"/>
              <w:autoSpaceDN w:val="0"/>
              <w:adjustRightInd w:val="0"/>
              <w:jc w:val="both"/>
              <w:cnfStyle w:val="000000100000"/>
              <w:rPr>
                <w:rFonts w:cstheme="minorHAnsi"/>
                <w:iCs/>
                <w:szCs w:val="19"/>
              </w:rPr>
            </w:pPr>
            <w:r>
              <w:rPr>
                <w:rFonts w:cstheme="minorHAnsi"/>
                <w:iCs/>
                <w:szCs w:val="19"/>
              </w:rPr>
              <w:t>A gravel</w:t>
            </w:r>
            <w:r w:rsidRPr="001C5AEA">
              <w:rPr>
                <w:rFonts w:cstheme="minorHAnsi"/>
                <w:iCs/>
                <w:szCs w:val="19"/>
              </w:rPr>
              <w:t xml:space="preserve"> pathway of 3.5ft wide will be constructed around the central concrete slab. The outer edge of the</w:t>
            </w:r>
            <w:r>
              <w:rPr>
                <w:rFonts w:cstheme="minorHAnsi"/>
                <w:iCs/>
                <w:szCs w:val="19"/>
              </w:rPr>
              <w:t xml:space="preserve"> </w:t>
            </w:r>
            <w:r w:rsidRPr="001C5AEA">
              <w:rPr>
                <w:rFonts w:cstheme="minorHAnsi"/>
                <w:iCs/>
                <w:szCs w:val="19"/>
              </w:rPr>
              <w:t>pathway will be r</w:t>
            </w:r>
            <w:r>
              <w:rPr>
                <w:rFonts w:cstheme="minorHAnsi"/>
                <w:iCs/>
                <w:szCs w:val="19"/>
              </w:rPr>
              <w:t>etaining wall where 3" of gravel</w:t>
            </w:r>
            <w:r w:rsidRPr="001C5AEA">
              <w:rPr>
                <w:rFonts w:cstheme="minorHAnsi"/>
                <w:iCs/>
                <w:szCs w:val="19"/>
              </w:rPr>
              <w:t xml:space="preserve"> or small stones will be l</w:t>
            </w:r>
            <w:r>
              <w:rPr>
                <w:rFonts w:cstheme="minorHAnsi"/>
                <w:iCs/>
                <w:szCs w:val="19"/>
              </w:rPr>
              <w:t>aid on a 5</w:t>
            </w:r>
            <w:r w:rsidRPr="001C5AEA">
              <w:rPr>
                <w:rFonts w:cstheme="minorHAnsi"/>
                <w:iCs/>
                <w:szCs w:val="19"/>
              </w:rPr>
              <w:t>" bed of compacted sand.</w:t>
            </w:r>
          </w:p>
        </w:tc>
        <w:tc>
          <w:tcPr>
            <w:tcW w:w="3168" w:type="dxa"/>
          </w:tcPr>
          <w:p w:rsidR="008C5E35" w:rsidRPr="001C5AEA" w:rsidRDefault="008C5E35" w:rsidP="00382B20">
            <w:pPr>
              <w:jc w:val="both"/>
              <w:cnfStyle w:val="000000100000"/>
            </w:pPr>
          </w:p>
        </w:tc>
      </w:tr>
      <w:tr w:rsidR="008C5E35" w:rsidTr="002C35D4">
        <w:tc>
          <w:tcPr>
            <w:cnfStyle w:val="001000000000"/>
            <w:tcW w:w="558" w:type="dxa"/>
          </w:tcPr>
          <w:p w:rsidR="008C5E35" w:rsidRDefault="00382B20" w:rsidP="00A7669D">
            <w:pPr>
              <w:jc w:val="both"/>
            </w:pPr>
            <w:r>
              <w:t>4.</w:t>
            </w:r>
          </w:p>
        </w:tc>
        <w:tc>
          <w:tcPr>
            <w:tcW w:w="1800" w:type="dxa"/>
          </w:tcPr>
          <w:p w:rsidR="008C5E35" w:rsidRPr="00FF7417" w:rsidRDefault="00FF7417" w:rsidP="00A7669D">
            <w:pPr>
              <w:jc w:val="both"/>
              <w:cnfStyle w:val="000000000000"/>
              <w:rPr>
                <w:rFonts w:cstheme="minorHAnsi"/>
              </w:rPr>
            </w:pPr>
            <w:r w:rsidRPr="00FF7417">
              <w:rPr>
                <w:rFonts w:cstheme="minorHAnsi"/>
                <w:szCs w:val="21"/>
              </w:rPr>
              <w:t>Drainage Channel</w:t>
            </w:r>
          </w:p>
        </w:tc>
        <w:tc>
          <w:tcPr>
            <w:tcW w:w="4050" w:type="dxa"/>
          </w:tcPr>
          <w:p w:rsidR="008C5E35" w:rsidRDefault="00FF7417" w:rsidP="00FF7417">
            <w:pPr>
              <w:jc w:val="both"/>
              <w:cnfStyle w:val="000000000000"/>
            </w:pPr>
            <w:r>
              <w:t>The length of the draina</w:t>
            </w:r>
            <w:r w:rsidR="00D75301">
              <w:t>ge channel will be site specific</w:t>
            </w:r>
            <w:r>
              <w:t>. Drainage channels must effectively remove wastewater and grey water from the site, reduce the risk of ponding and vector breeding areas.</w:t>
            </w:r>
          </w:p>
        </w:tc>
        <w:tc>
          <w:tcPr>
            <w:tcW w:w="3168" w:type="dxa"/>
          </w:tcPr>
          <w:p w:rsidR="008C5E35" w:rsidRDefault="00C104B8" w:rsidP="00D75301">
            <w:pPr>
              <w:jc w:val="both"/>
              <w:cnfStyle w:val="000000000000"/>
            </w:pPr>
            <w:r>
              <w:t>It is estimated that the average length of the drainage</w:t>
            </w:r>
            <w:r w:rsidR="00D75301">
              <w:t xml:space="preserve"> channel will be 10m</w:t>
            </w:r>
            <w:r>
              <w:t>.</w:t>
            </w:r>
          </w:p>
        </w:tc>
      </w:tr>
      <w:tr w:rsidR="008C5E35" w:rsidTr="002C35D4">
        <w:trPr>
          <w:cnfStyle w:val="000000100000"/>
        </w:trPr>
        <w:tc>
          <w:tcPr>
            <w:cnfStyle w:val="001000000000"/>
            <w:tcW w:w="558" w:type="dxa"/>
          </w:tcPr>
          <w:p w:rsidR="008C5E35" w:rsidRDefault="00382B20" w:rsidP="00A7669D">
            <w:pPr>
              <w:jc w:val="both"/>
            </w:pPr>
            <w:r>
              <w:t>5.</w:t>
            </w:r>
          </w:p>
        </w:tc>
        <w:tc>
          <w:tcPr>
            <w:tcW w:w="1800" w:type="dxa"/>
          </w:tcPr>
          <w:p w:rsidR="008C5E35" w:rsidRDefault="00707044" w:rsidP="00A7669D">
            <w:pPr>
              <w:jc w:val="both"/>
              <w:cnfStyle w:val="000000100000"/>
            </w:pPr>
            <w:r>
              <w:t>Outer Walling</w:t>
            </w:r>
          </w:p>
        </w:tc>
        <w:tc>
          <w:tcPr>
            <w:tcW w:w="4050" w:type="dxa"/>
          </w:tcPr>
          <w:p w:rsidR="00BB64A3" w:rsidRDefault="00BB64A3" w:rsidP="006F495D">
            <w:pPr>
              <w:jc w:val="both"/>
              <w:cnfStyle w:val="000000100000"/>
            </w:pPr>
            <w:r>
              <w:t>To provide privacy and security to women while bathing. The bathing areas will have two entrances, one at either end each 4ft wide.</w:t>
            </w:r>
          </w:p>
          <w:p w:rsidR="00BB64A3" w:rsidRDefault="00BB64A3" w:rsidP="00AE107B">
            <w:pPr>
              <w:jc w:val="both"/>
              <w:cnfStyle w:val="000000100000"/>
            </w:pPr>
            <w:r>
              <w:t xml:space="preserve">Bamboo matting will cover both sides of the wall to ensure privacy to users. </w:t>
            </w:r>
          </w:p>
        </w:tc>
        <w:tc>
          <w:tcPr>
            <w:tcW w:w="3168" w:type="dxa"/>
          </w:tcPr>
          <w:p w:rsidR="008C5E35" w:rsidRDefault="00BB64A3" w:rsidP="00AE107B">
            <w:pPr>
              <w:jc w:val="both"/>
              <w:cnfStyle w:val="000000100000"/>
            </w:pPr>
            <w:r>
              <w:t>T</w:t>
            </w:r>
            <w:r w:rsidR="00707044">
              <w:t>hese entrances should not</w:t>
            </w:r>
            <w:r w:rsidR="006F495D">
              <w:t xml:space="preserve"> point</w:t>
            </w:r>
            <w:r>
              <w:t xml:space="preserve"> </w:t>
            </w:r>
            <w:r w:rsidR="00707044">
              <w:t>in the direction of onlookers from the shelters.</w:t>
            </w:r>
            <w:r w:rsidR="00AE107B">
              <w:t xml:space="preserve"> The bamboo matting will be painted with earth oil (dress oil) to provide a degree of waterproof and to prolong the life of the structure.</w:t>
            </w:r>
          </w:p>
        </w:tc>
      </w:tr>
      <w:tr w:rsidR="008C5E35" w:rsidTr="002C35D4">
        <w:tc>
          <w:tcPr>
            <w:cnfStyle w:val="001000000000"/>
            <w:tcW w:w="558" w:type="dxa"/>
          </w:tcPr>
          <w:p w:rsidR="008C5E35" w:rsidRDefault="00767DA3" w:rsidP="00A7669D">
            <w:pPr>
              <w:jc w:val="both"/>
            </w:pPr>
            <w:r>
              <w:lastRenderedPageBreak/>
              <w:t>6</w:t>
            </w:r>
          </w:p>
        </w:tc>
        <w:tc>
          <w:tcPr>
            <w:tcW w:w="1800" w:type="dxa"/>
          </w:tcPr>
          <w:p w:rsidR="008C5E35" w:rsidRDefault="00DE6CE5" w:rsidP="00767DA3">
            <w:pPr>
              <w:jc w:val="both"/>
              <w:cnfStyle w:val="000000000000"/>
            </w:pPr>
            <w:r>
              <w:t>Interior Walling</w:t>
            </w:r>
          </w:p>
        </w:tc>
        <w:tc>
          <w:tcPr>
            <w:tcW w:w="4050" w:type="dxa"/>
          </w:tcPr>
          <w:p w:rsidR="008C5E35" w:rsidRDefault="00175BB1" w:rsidP="00AE107B">
            <w:pPr>
              <w:jc w:val="both"/>
              <w:cnfStyle w:val="000000000000"/>
            </w:pPr>
            <w:r>
              <w:t>I</w:t>
            </w:r>
            <w:r w:rsidR="00DE6CE5">
              <w:t>nternal partitions creating individual bathing cubicles</w:t>
            </w:r>
            <w:r w:rsidR="00AE107B">
              <w:t>. The two walls in front of the entrances (7ft high) will be double lined with bamboo matting (the same as the outer walling) while the interior walls (3ft) will have a single bamboo lining.</w:t>
            </w:r>
          </w:p>
        </w:tc>
        <w:tc>
          <w:tcPr>
            <w:tcW w:w="3168" w:type="dxa"/>
          </w:tcPr>
          <w:p w:rsidR="008C5E35" w:rsidRDefault="00AE107B" w:rsidP="007549A5">
            <w:pPr>
              <w:jc w:val="both"/>
              <w:cnfStyle w:val="000000000000"/>
            </w:pPr>
            <w:r>
              <w:t>A</w:t>
            </w:r>
            <w:r w:rsidR="007549A5">
              <w:t>l</w:t>
            </w:r>
            <w:r>
              <w:t>l the bamboo matting will be painted with earth oil (dress oil) to provide a degree of waterproof and to prolong the life of the structure.</w:t>
            </w:r>
          </w:p>
        </w:tc>
      </w:tr>
      <w:tr w:rsidR="00767DA3" w:rsidTr="002C35D4">
        <w:trPr>
          <w:cnfStyle w:val="000000100000"/>
        </w:trPr>
        <w:tc>
          <w:tcPr>
            <w:cnfStyle w:val="001000000000"/>
            <w:tcW w:w="558" w:type="dxa"/>
          </w:tcPr>
          <w:p w:rsidR="00767DA3" w:rsidRDefault="00767DA3" w:rsidP="00A7669D">
            <w:pPr>
              <w:jc w:val="both"/>
            </w:pPr>
            <w:r>
              <w:t>7.</w:t>
            </w:r>
          </w:p>
        </w:tc>
        <w:tc>
          <w:tcPr>
            <w:tcW w:w="1800" w:type="dxa"/>
          </w:tcPr>
          <w:p w:rsidR="00767DA3" w:rsidRDefault="0030064A" w:rsidP="00767DA3">
            <w:pPr>
              <w:jc w:val="both"/>
              <w:cnfStyle w:val="000000100000"/>
            </w:pPr>
            <w:r>
              <w:t>Roofing (optional)</w:t>
            </w:r>
          </w:p>
        </w:tc>
        <w:tc>
          <w:tcPr>
            <w:tcW w:w="4050" w:type="dxa"/>
          </w:tcPr>
          <w:p w:rsidR="00767DA3" w:rsidRDefault="00282955" w:rsidP="00282955">
            <w:pPr>
              <w:jc w:val="both"/>
              <w:cnfStyle w:val="000000100000"/>
            </w:pPr>
            <w:r>
              <w:t>Roofed bathing structure to protect them from direct sunshine whil</w:t>
            </w:r>
            <w:r w:rsidR="00D75301">
              <w:t>e bathing and to increase the</w:t>
            </w:r>
            <w:r>
              <w:t xml:space="preserve"> sense of privacy.</w:t>
            </w:r>
          </w:p>
        </w:tc>
        <w:tc>
          <w:tcPr>
            <w:tcW w:w="3168" w:type="dxa"/>
          </w:tcPr>
          <w:p w:rsidR="00767DA3" w:rsidRDefault="00C73420" w:rsidP="007549A5">
            <w:pPr>
              <w:jc w:val="both"/>
              <w:cnfStyle w:val="000000100000"/>
            </w:pPr>
            <w:r>
              <w:t xml:space="preserve">The CGI sheets will only cover 4ft </w:t>
            </w:r>
            <w:r w:rsidR="007549A5">
              <w:t xml:space="preserve">out </w:t>
            </w:r>
            <w:r>
              <w:t>of the 5ft span in order for rainwater from the roof to drain</w:t>
            </w:r>
            <w:r w:rsidR="007549A5">
              <w:t xml:space="preserve"> </w:t>
            </w:r>
            <w:r w:rsidR="006F495D">
              <w:t>on</w:t>
            </w:r>
            <w:r>
              <w:t>to the concrete floor rather than onto the gravel walkway.</w:t>
            </w:r>
          </w:p>
        </w:tc>
      </w:tr>
      <w:tr w:rsidR="00DF0612" w:rsidTr="002C35D4">
        <w:tc>
          <w:tcPr>
            <w:cnfStyle w:val="001000000000"/>
            <w:tcW w:w="558" w:type="dxa"/>
          </w:tcPr>
          <w:p w:rsidR="00DF0612" w:rsidRDefault="00DF0612" w:rsidP="00A7669D">
            <w:pPr>
              <w:jc w:val="both"/>
            </w:pPr>
            <w:r>
              <w:t>8.</w:t>
            </w:r>
          </w:p>
        </w:tc>
        <w:tc>
          <w:tcPr>
            <w:tcW w:w="9018" w:type="dxa"/>
            <w:gridSpan w:val="3"/>
          </w:tcPr>
          <w:p w:rsidR="00DF0612" w:rsidRDefault="006F495D" w:rsidP="006F495D">
            <w:pPr>
              <w:jc w:val="both"/>
              <w:cnfStyle w:val="000000000000"/>
            </w:pPr>
            <w:r>
              <w:t>lt is estimated that for each unit of 5 shelters (8 household per 1 shelter unit) there will be approximately 100 women requiring access to bathing facilities i.e. two, 8-cubicle bathing facilities.</w:t>
            </w:r>
          </w:p>
        </w:tc>
      </w:tr>
    </w:tbl>
    <w:p w:rsidR="008C5E35" w:rsidRDefault="008C5E35" w:rsidP="00A7669D">
      <w:pPr>
        <w:jc w:val="both"/>
      </w:pPr>
    </w:p>
    <w:p w:rsidR="00DF0612" w:rsidRDefault="00DF0612" w:rsidP="007C2CF4">
      <w:pPr>
        <w:pStyle w:val="Subtitle"/>
        <w:pBdr>
          <w:bottom w:val="thinThickSmallGap" w:sz="18" w:space="1" w:color="4F81BD" w:themeColor="accent1"/>
        </w:pBdr>
      </w:pPr>
      <w:r>
        <w:t>Perspective of the design</w:t>
      </w:r>
    </w:p>
    <w:p w:rsidR="00DF0612" w:rsidRDefault="00DF0612" w:rsidP="00E21A2A">
      <w:pPr>
        <w:keepNext/>
        <w:jc w:val="center"/>
      </w:pPr>
      <w:r>
        <w:rPr>
          <w:noProof/>
        </w:rPr>
        <w:drawing>
          <wp:inline distT="0" distB="0" distL="0" distR="0">
            <wp:extent cx="5463540" cy="3151622"/>
            <wp:effectExtent l="19050" t="0" r="3810" b="0"/>
            <wp:docPr id="1" name="Picture 0" descr="Child Latrine Design 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2.png"/>
                    <pic:cNvPicPr/>
                  </pic:nvPicPr>
                  <pic:blipFill>
                    <a:blip r:embed="rId11"/>
                    <a:stretch>
                      <a:fillRect/>
                    </a:stretch>
                  </pic:blipFill>
                  <pic:spPr>
                    <a:xfrm>
                      <a:off x="0" y="0"/>
                      <a:ext cx="5463540" cy="3151622"/>
                    </a:xfrm>
                    <a:prstGeom prst="rect">
                      <a:avLst/>
                    </a:prstGeom>
                  </pic:spPr>
                </pic:pic>
              </a:graphicData>
            </a:graphic>
          </wp:inline>
        </w:drawing>
      </w:r>
    </w:p>
    <w:p w:rsidR="00DF0612" w:rsidRPr="00E21A2A" w:rsidRDefault="00DF0612" w:rsidP="00E21A2A">
      <w:pPr>
        <w:pStyle w:val="Caption"/>
        <w:jc w:val="center"/>
        <w:rPr>
          <w:sz w:val="20"/>
        </w:rPr>
      </w:pPr>
      <w:r w:rsidRPr="00E21A2A">
        <w:rPr>
          <w:sz w:val="20"/>
        </w:rPr>
        <w:t xml:space="preserve">Figure </w:t>
      </w:r>
      <w:r w:rsidR="003E1B31" w:rsidRPr="00E21A2A">
        <w:rPr>
          <w:sz w:val="20"/>
        </w:rPr>
        <w:fldChar w:fldCharType="begin"/>
      </w:r>
      <w:r w:rsidRPr="00E21A2A">
        <w:rPr>
          <w:sz w:val="20"/>
        </w:rPr>
        <w:instrText xml:space="preserve"> SEQ Figure \* ARABIC </w:instrText>
      </w:r>
      <w:r w:rsidR="003E1B31" w:rsidRPr="00E21A2A">
        <w:rPr>
          <w:sz w:val="20"/>
        </w:rPr>
        <w:fldChar w:fldCharType="separate"/>
      </w:r>
      <w:r w:rsidR="003E405A">
        <w:rPr>
          <w:noProof/>
          <w:sz w:val="20"/>
        </w:rPr>
        <w:t>1</w:t>
      </w:r>
      <w:r w:rsidR="003E1B31" w:rsidRPr="00E21A2A">
        <w:rPr>
          <w:sz w:val="20"/>
        </w:rPr>
        <w:fldChar w:fldCharType="end"/>
      </w:r>
      <w:r w:rsidRPr="00E21A2A">
        <w:rPr>
          <w:sz w:val="20"/>
        </w:rPr>
        <w:t xml:space="preserve"> </w:t>
      </w:r>
      <w:r w:rsidR="009F2798">
        <w:rPr>
          <w:sz w:val="20"/>
        </w:rPr>
        <w:t>Floor</w:t>
      </w:r>
      <w:r w:rsidRPr="00E21A2A">
        <w:rPr>
          <w:sz w:val="20"/>
        </w:rPr>
        <w:t xml:space="preserve"> (Plan View)</w:t>
      </w:r>
    </w:p>
    <w:p w:rsidR="00E21A2A" w:rsidRDefault="00E21A2A" w:rsidP="00685C7B">
      <w:pPr>
        <w:pStyle w:val="Subtitle"/>
      </w:pPr>
    </w:p>
    <w:p w:rsidR="00E21A2A" w:rsidRDefault="00E21A2A" w:rsidP="00E21A2A">
      <w:pPr>
        <w:keepNext/>
        <w:jc w:val="center"/>
      </w:pPr>
      <w:r>
        <w:rPr>
          <w:noProof/>
        </w:rPr>
        <w:lastRenderedPageBreak/>
        <w:drawing>
          <wp:inline distT="0" distB="0" distL="0" distR="0">
            <wp:extent cx="4091445" cy="3474720"/>
            <wp:effectExtent l="19050" t="0" r="4305" b="0"/>
            <wp:docPr id="4" name="Picture 3" descr="Child Latrine Design View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3.png"/>
                    <pic:cNvPicPr/>
                  </pic:nvPicPr>
                  <pic:blipFill>
                    <a:blip r:embed="rId12"/>
                    <a:stretch>
                      <a:fillRect/>
                    </a:stretch>
                  </pic:blipFill>
                  <pic:spPr>
                    <a:xfrm>
                      <a:off x="0" y="0"/>
                      <a:ext cx="4091445" cy="3474720"/>
                    </a:xfrm>
                    <a:prstGeom prst="rect">
                      <a:avLst/>
                    </a:prstGeom>
                  </pic:spPr>
                </pic:pic>
              </a:graphicData>
            </a:graphic>
          </wp:inline>
        </w:drawing>
      </w:r>
    </w:p>
    <w:p w:rsidR="00E21A2A" w:rsidRDefault="00E21A2A" w:rsidP="00E21A2A">
      <w:pPr>
        <w:pStyle w:val="Caption"/>
        <w:jc w:val="center"/>
      </w:pPr>
      <w:r>
        <w:t xml:space="preserve">Figure </w:t>
      </w:r>
      <w:fldSimple w:instr=" SEQ Figure \* ARABIC ">
        <w:r w:rsidR="003E405A">
          <w:rPr>
            <w:noProof/>
          </w:rPr>
          <w:t>2</w:t>
        </w:r>
      </w:fldSimple>
      <w:r w:rsidR="00C5745B">
        <w:t xml:space="preserve"> </w:t>
      </w:r>
      <w:r w:rsidR="009F2798">
        <w:t>Poles for</w:t>
      </w:r>
      <w:r>
        <w:t xml:space="preserve"> </w:t>
      </w:r>
      <w:r w:rsidR="009F2798">
        <w:t>Interior and Exterior Walling (Plan</w:t>
      </w:r>
      <w:r>
        <w:t xml:space="preserve"> View)</w:t>
      </w:r>
    </w:p>
    <w:p w:rsidR="00255DC5" w:rsidRDefault="00255DC5" w:rsidP="00E74DDA">
      <w:pPr>
        <w:keepNext/>
        <w:jc w:val="center"/>
      </w:pPr>
      <w:r>
        <w:rPr>
          <w:noProof/>
        </w:rPr>
        <w:drawing>
          <wp:inline distT="0" distB="0" distL="0" distR="0">
            <wp:extent cx="3320426" cy="3657600"/>
            <wp:effectExtent l="19050" t="0" r="0" b="0"/>
            <wp:docPr id="5" name="Picture 4" descr="Child Latrine Design View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4.png"/>
                    <pic:cNvPicPr/>
                  </pic:nvPicPr>
                  <pic:blipFill>
                    <a:blip r:embed="rId13"/>
                    <a:stretch>
                      <a:fillRect/>
                    </a:stretch>
                  </pic:blipFill>
                  <pic:spPr>
                    <a:xfrm>
                      <a:off x="0" y="0"/>
                      <a:ext cx="3320426" cy="3657600"/>
                    </a:xfrm>
                    <a:prstGeom prst="rect">
                      <a:avLst/>
                    </a:prstGeom>
                  </pic:spPr>
                </pic:pic>
              </a:graphicData>
            </a:graphic>
          </wp:inline>
        </w:drawing>
      </w:r>
    </w:p>
    <w:p w:rsidR="00255DC5" w:rsidRPr="00E21A2A" w:rsidRDefault="00255DC5" w:rsidP="00255DC5">
      <w:pPr>
        <w:pStyle w:val="Caption"/>
        <w:jc w:val="center"/>
      </w:pPr>
      <w:r>
        <w:t xml:space="preserve">Figure </w:t>
      </w:r>
      <w:fldSimple w:instr=" SEQ Figure \* ARABIC ">
        <w:r w:rsidR="003E405A">
          <w:rPr>
            <w:noProof/>
          </w:rPr>
          <w:t>3</w:t>
        </w:r>
      </w:fldSimple>
      <w:r>
        <w:t xml:space="preserve"> </w:t>
      </w:r>
      <w:r w:rsidR="00E74DDA">
        <w:t>Slope of the floor and its direction</w:t>
      </w:r>
      <w:r>
        <w:t xml:space="preserve"> (</w:t>
      </w:r>
      <w:r w:rsidR="00E74DDA">
        <w:t xml:space="preserve">Plan and </w:t>
      </w:r>
      <w:r>
        <w:t>Side View)</w:t>
      </w:r>
    </w:p>
    <w:p w:rsidR="00255DC5" w:rsidRDefault="00255DC5" w:rsidP="00685C7B">
      <w:pPr>
        <w:pStyle w:val="Subtitle"/>
      </w:pPr>
    </w:p>
    <w:p w:rsidR="00C635CD" w:rsidRDefault="002D0DA2" w:rsidP="00C635CD">
      <w:pPr>
        <w:pStyle w:val="Subtitle"/>
        <w:keepNext/>
      </w:pPr>
      <w:r>
        <w:rPr>
          <w:noProof/>
        </w:rPr>
        <w:lastRenderedPageBreak/>
        <w:drawing>
          <wp:inline distT="0" distB="0" distL="0" distR="0">
            <wp:extent cx="5943600" cy="3292475"/>
            <wp:effectExtent l="19050" t="0" r="0" b="0"/>
            <wp:docPr id="9" name="Picture 8" descr="Plan and 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and Side View.jpg"/>
                    <pic:cNvPicPr/>
                  </pic:nvPicPr>
                  <pic:blipFill>
                    <a:blip r:embed="rId14"/>
                    <a:stretch>
                      <a:fillRect/>
                    </a:stretch>
                  </pic:blipFill>
                  <pic:spPr>
                    <a:xfrm>
                      <a:off x="0" y="0"/>
                      <a:ext cx="5943600" cy="3292475"/>
                    </a:xfrm>
                    <a:prstGeom prst="rect">
                      <a:avLst/>
                    </a:prstGeom>
                  </pic:spPr>
                </pic:pic>
              </a:graphicData>
            </a:graphic>
          </wp:inline>
        </w:drawing>
      </w:r>
    </w:p>
    <w:p w:rsidR="00E74DDA" w:rsidRDefault="00C635CD" w:rsidP="003E405A">
      <w:pPr>
        <w:pStyle w:val="Caption"/>
        <w:jc w:val="center"/>
      </w:pPr>
      <w:r>
        <w:t xml:space="preserve">Figure </w:t>
      </w:r>
      <w:fldSimple w:instr=" SEQ Figure \* ARABIC ">
        <w:r w:rsidR="003E405A">
          <w:rPr>
            <w:noProof/>
          </w:rPr>
          <w:t>4</w:t>
        </w:r>
      </w:fldSimple>
      <w:r w:rsidR="00E74DDA">
        <w:t xml:space="preserve"> Bathroom</w:t>
      </w:r>
      <w:r w:rsidR="002D0DA2">
        <w:t xml:space="preserve"> </w:t>
      </w:r>
      <w:r w:rsidR="00E74DDA">
        <w:t>(</w:t>
      </w:r>
      <w:r w:rsidR="007549A5">
        <w:t xml:space="preserve">Plan &amp; </w:t>
      </w:r>
      <w:r w:rsidR="00E74DDA">
        <w:t>Side</w:t>
      </w:r>
      <w:r>
        <w:t xml:space="preserve"> View)</w:t>
      </w:r>
    </w:p>
    <w:p w:rsidR="003E405A" w:rsidRDefault="003E405A" w:rsidP="003E405A">
      <w:pPr>
        <w:keepNext/>
      </w:pPr>
      <w:r>
        <w:rPr>
          <w:noProof/>
        </w:rPr>
        <w:drawing>
          <wp:inline distT="0" distB="0" distL="0" distR="0">
            <wp:extent cx="5943600" cy="2280920"/>
            <wp:effectExtent l="19050" t="0" r="0" b="0"/>
            <wp:docPr id="8" name="Picture 7" descr="Bathroom Isometric Vi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room Isometric Views.jpg"/>
                    <pic:cNvPicPr/>
                  </pic:nvPicPr>
                  <pic:blipFill>
                    <a:blip r:embed="rId15"/>
                    <a:stretch>
                      <a:fillRect/>
                    </a:stretch>
                  </pic:blipFill>
                  <pic:spPr>
                    <a:xfrm>
                      <a:off x="0" y="0"/>
                      <a:ext cx="5943600" cy="2280920"/>
                    </a:xfrm>
                    <a:prstGeom prst="rect">
                      <a:avLst/>
                    </a:prstGeom>
                  </pic:spPr>
                </pic:pic>
              </a:graphicData>
            </a:graphic>
          </wp:inline>
        </w:drawing>
      </w:r>
    </w:p>
    <w:p w:rsidR="003E405A" w:rsidRPr="00E74DDA" w:rsidRDefault="003E405A" w:rsidP="003E405A">
      <w:pPr>
        <w:pStyle w:val="Caption"/>
        <w:jc w:val="center"/>
      </w:pPr>
      <w:r>
        <w:t xml:space="preserve">Figure </w:t>
      </w:r>
      <w:fldSimple w:instr=" SEQ Figure \* ARABIC ">
        <w:r>
          <w:rPr>
            <w:noProof/>
          </w:rPr>
          <w:t>5</w:t>
        </w:r>
      </w:fldSimple>
      <w:r>
        <w:t xml:space="preserve"> Bathroom (Isometric Views)</w:t>
      </w:r>
    </w:p>
    <w:p w:rsidR="00685C7B" w:rsidRPr="00685C7B" w:rsidRDefault="00685C7B" w:rsidP="007C2CF4">
      <w:pPr>
        <w:pStyle w:val="Subtitle"/>
        <w:pBdr>
          <w:bottom w:val="thinThickSmallGap" w:sz="18" w:space="1" w:color="4F81BD" w:themeColor="accent1"/>
        </w:pBdr>
      </w:pPr>
      <w:r w:rsidRPr="00685C7B">
        <w:t>Guidance notes:</w:t>
      </w:r>
    </w:p>
    <w:p w:rsidR="00C635CD" w:rsidRDefault="007F6E9C" w:rsidP="00C635CD">
      <w:pPr>
        <w:ind w:firstLine="360"/>
        <w:jc w:val="both"/>
        <w:rPr>
          <w:rFonts w:cstheme="minorHAnsi"/>
          <w:bCs/>
        </w:rPr>
      </w:pPr>
      <w:r>
        <w:rPr>
          <w:rFonts w:cstheme="minorHAnsi"/>
          <w:bCs/>
        </w:rPr>
        <w:t>There is no minimum sphere standard for bathing facilities</w:t>
      </w:r>
      <w:r w:rsidR="00777735">
        <w:rPr>
          <w:rFonts w:cstheme="minorHAnsi"/>
          <w:bCs/>
        </w:rPr>
        <w:t xml:space="preserve">. However, WASH agencies generally agreed the following facts to be adhered. </w:t>
      </w:r>
      <w:r w:rsidR="00BE517D">
        <w:rPr>
          <w:rFonts w:cstheme="minorHAnsi"/>
          <w:bCs/>
        </w:rPr>
        <w:t xml:space="preserve">Bathing facilities should be </w:t>
      </w:r>
      <w:r w:rsidR="00426CDF">
        <w:rPr>
          <w:rFonts w:cstheme="minorHAnsi"/>
          <w:bCs/>
        </w:rPr>
        <w:t>constructed in consultation with the communities to decide the number, location, design, safety, appropriateness and convenience of facilities.</w:t>
      </w:r>
    </w:p>
    <w:p w:rsidR="00426CDF" w:rsidRPr="00426CDF" w:rsidRDefault="00BE517D" w:rsidP="006C6742">
      <w:pPr>
        <w:pStyle w:val="ListParagraph"/>
        <w:numPr>
          <w:ilvl w:val="0"/>
          <w:numId w:val="2"/>
        </w:numPr>
        <w:spacing w:after="60"/>
        <w:contextualSpacing w:val="0"/>
        <w:jc w:val="both"/>
        <w:rPr>
          <w:rFonts w:eastAsia="Calibri" w:cstheme="minorHAnsi"/>
        </w:rPr>
      </w:pPr>
      <w:r w:rsidRPr="00426CDF">
        <w:rPr>
          <w:rFonts w:cstheme="minorHAnsi"/>
          <w:bCs/>
        </w:rPr>
        <w:t xml:space="preserve">At least 1 bathing facilities ( </w:t>
      </w:r>
      <w:r w:rsidR="002949BD">
        <w:rPr>
          <w:rFonts w:cstheme="minorHAnsi"/>
          <w:bCs/>
        </w:rPr>
        <w:t>average 6</w:t>
      </w:r>
      <w:r w:rsidRPr="00426CDF">
        <w:rPr>
          <w:rFonts w:cstheme="minorHAnsi"/>
          <w:bCs/>
        </w:rPr>
        <w:t xml:space="preserve"> women can take bath at one time) per 50 women</w:t>
      </w:r>
    </w:p>
    <w:p w:rsidR="00BE517D" w:rsidRPr="00426CDF" w:rsidRDefault="00BE517D" w:rsidP="006C6742">
      <w:pPr>
        <w:pStyle w:val="ListParagraph"/>
        <w:numPr>
          <w:ilvl w:val="0"/>
          <w:numId w:val="2"/>
        </w:numPr>
        <w:spacing w:after="60"/>
        <w:contextualSpacing w:val="0"/>
        <w:jc w:val="both"/>
        <w:rPr>
          <w:rFonts w:eastAsia="Calibri" w:cstheme="minorHAnsi"/>
        </w:rPr>
      </w:pPr>
      <w:r w:rsidRPr="00426CDF">
        <w:rPr>
          <w:rFonts w:eastAsia="Times New Roman" w:cstheme="minorHAnsi"/>
        </w:rPr>
        <w:t>Bathing facilities should be easily accessible and as</w:t>
      </w:r>
      <w:r w:rsidR="00793402" w:rsidRPr="00426CDF">
        <w:rPr>
          <w:rFonts w:eastAsia="Times New Roman" w:cstheme="minorHAnsi"/>
        </w:rPr>
        <w:t xml:space="preserve"> close as possible from </w:t>
      </w:r>
      <w:r w:rsidRPr="00426CDF">
        <w:rPr>
          <w:rFonts w:eastAsia="Times New Roman" w:cstheme="minorHAnsi"/>
        </w:rPr>
        <w:t xml:space="preserve">dwelling </w:t>
      </w:r>
    </w:p>
    <w:p w:rsidR="00BE517D" w:rsidRDefault="00BE517D" w:rsidP="006C6742">
      <w:pPr>
        <w:pStyle w:val="ListParagraph1"/>
        <w:numPr>
          <w:ilvl w:val="0"/>
          <w:numId w:val="2"/>
        </w:numPr>
        <w:spacing w:after="60"/>
        <w:contextualSpacing w:val="0"/>
        <w:rPr>
          <w:rFonts w:asciiTheme="minorHAnsi" w:hAnsiTheme="minorHAnsi" w:cstheme="minorHAnsi"/>
        </w:rPr>
      </w:pPr>
      <w:r>
        <w:rPr>
          <w:rFonts w:asciiTheme="minorHAnsi" w:hAnsiTheme="minorHAnsi" w:cstheme="minorHAnsi"/>
        </w:rPr>
        <w:lastRenderedPageBreak/>
        <w:t>Bathing facilities should be in well-lit areas with good visibility of the surrounding area to ensure the safety of users</w:t>
      </w:r>
    </w:p>
    <w:p w:rsidR="00A82C72" w:rsidRPr="00BE517D" w:rsidRDefault="00BE517D" w:rsidP="006C6742">
      <w:pPr>
        <w:pStyle w:val="ListParagraph1"/>
        <w:numPr>
          <w:ilvl w:val="0"/>
          <w:numId w:val="2"/>
        </w:numPr>
        <w:spacing w:after="60"/>
        <w:contextualSpacing w:val="0"/>
        <w:rPr>
          <w:rFonts w:asciiTheme="minorHAnsi" w:hAnsiTheme="minorHAnsi" w:cstheme="minorHAnsi"/>
        </w:rPr>
      </w:pPr>
      <w:r>
        <w:rPr>
          <w:rFonts w:asciiTheme="minorHAnsi" w:hAnsiTheme="minorHAnsi" w:cstheme="minorHAnsi"/>
        </w:rPr>
        <w:t>Water should be made available near to the bathing facilities and proper drainage pathway should be constructed to minimise the stagnant water</w:t>
      </w:r>
      <w:r w:rsidR="00A82C72" w:rsidRPr="00BE517D">
        <w:rPr>
          <w:rFonts w:asciiTheme="minorHAnsi" w:hAnsiTheme="minorHAnsi" w:cstheme="minorHAnsi"/>
        </w:rPr>
        <w:t xml:space="preserve"> </w:t>
      </w:r>
    </w:p>
    <w:p w:rsidR="00BE517D" w:rsidRDefault="00BE517D" w:rsidP="006C6742">
      <w:pPr>
        <w:pStyle w:val="ListParagraph1"/>
        <w:numPr>
          <w:ilvl w:val="0"/>
          <w:numId w:val="2"/>
        </w:numPr>
        <w:spacing w:after="60"/>
        <w:contextualSpacing w:val="0"/>
        <w:rPr>
          <w:rFonts w:asciiTheme="minorHAnsi" w:hAnsiTheme="minorHAnsi" w:cstheme="minorHAnsi"/>
        </w:rPr>
      </w:pPr>
      <w:r w:rsidRPr="00BE517D">
        <w:rPr>
          <w:rFonts w:asciiTheme="minorHAnsi" w:hAnsiTheme="minorHAnsi" w:cstheme="minorHAnsi"/>
        </w:rPr>
        <w:t xml:space="preserve">Bathing facilities should be clearly labelled both with written language and picture. </w:t>
      </w:r>
    </w:p>
    <w:p w:rsidR="00ED1821" w:rsidRDefault="002D0DA2" w:rsidP="007C2CF4">
      <w:pPr>
        <w:pStyle w:val="Subtitle"/>
        <w:pBdr>
          <w:bottom w:val="thinThickSmallGap" w:sz="18" w:space="1" w:color="4F81BD" w:themeColor="accent1"/>
        </w:pBdr>
        <w:spacing w:before="240"/>
      </w:pPr>
      <w:r>
        <w:t>Cost and BOQ of Bathroom</w:t>
      </w:r>
    </w:p>
    <w:p w:rsidR="004E240A" w:rsidRDefault="000028ED" w:rsidP="0045796E">
      <w:pPr>
        <w:rPr>
          <w:b/>
        </w:rPr>
      </w:pPr>
      <w:r>
        <w:t xml:space="preserve">The minimum calculated </w:t>
      </w:r>
      <w:r w:rsidR="0045796E">
        <w:t>cost</w:t>
      </w:r>
      <w:r w:rsidR="002D0DA2">
        <w:t xml:space="preserve"> of 1 bathroom is around 884</w:t>
      </w:r>
      <w:r w:rsidR="00D404F8">
        <w:t xml:space="preserve"> USD</w:t>
      </w:r>
      <w:r>
        <w:rPr>
          <w:b/>
        </w:rPr>
        <w:t>.</w:t>
      </w:r>
      <w:r w:rsidR="00D404F8">
        <w:rPr>
          <w:b/>
        </w:rPr>
        <w:t xml:space="preserve"> </w:t>
      </w:r>
      <w:r w:rsidR="008E2956">
        <w:rPr>
          <w:b/>
        </w:rPr>
        <w:t xml:space="preserve"> </w:t>
      </w:r>
      <w:r w:rsidR="008E2956">
        <w:t>The Bills of Quantity for the</w:t>
      </w:r>
      <w:r w:rsidR="002D0DA2">
        <w:t xml:space="preserve"> bathroom is developed by Solidarites</w:t>
      </w:r>
      <w:r w:rsidR="008510ED">
        <w:t xml:space="preserve"> International </w:t>
      </w:r>
      <w:r w:rsidR="008E2956">
        <w:t>are as follow:</w:t>
      </w:r>
    </w:p>
    <w:p w:rsidR="007A7A17" w:rsidRDefault="007A7A17" w:rsidP="007A7A17">
      <w:pPr>
        <w:pStyle w:val="Caption"/>
        <w:keepNext/>
      </w:pPr>
      <w:r>
        <w:t xml:space="preserve">Table </w:t>
      </w:r>
      <w:fldSimple w:instr=" SEQ Table \* ARABIC ">
        <w:r>
          <w:rPr>
            <w:noProof/>
          </w:rPr>
          <w:t>1</w:t>
        </w:r>
      </w:fldSimple>
      <w:r>
        <w:t xml:space="preserve"> Bill of Quantity of Bathroom</w:t>
      </w:r>
    </w:p>
    <w:tbl>
      <w:tblPr>
        <w:tblStyle w:val="LightShading-Accent2"/>
        <w:tblW w:w="5000" w:type="pct"/>
        <w:tblLook w:val="04A0"/>
      </w:tblPr>
      <w:tblGrid>
        <w:gridCol w:w="637"/>
        <w:gridCol w:w="3926"/>
        <w:gridCol w:w="1136"/>
        <w:gridCol w:w="1182"/>
        <w:gridCol w:w="1253"/>
        <w:gridCol w:w="1442"/>
      </w:tblGrid>
      <w:tr w:rsidR="00D75CAC" w:rsidRPr="00D75CAC" w:rsidTr="002C35D4">
        <w:trPr>
          <w:cnfStyle w:val="100000000000"/>
          <w:trHeight w:val="615"/>
        </w:trPr>
        <w:tc>
          <w:tcPr>
            <w:cnfStyle w:val="001000000000"/>
            <w:tcW w:w="333" w:type="pct"/>
            <w:hideMark/>
          </w:tcPr>
          <w:p w:rsidR="00D75CAC" w:rsidRPr="00D75CAC" w:rsidRDefault="00D75CAC" w:rsidP="00D75CAC">
            <w:pPr>
              <w:jc w:val="center"/>
              <w:rPr>
                <w:rFonts w:ascii="Calibri" w:eastAsia="Times New Roman" w:hAnsi="Calibri" w:cs="Calibri"/>
                <w:b w:val="0"/>
                <w:color w:val="000000"/>
              </w:rPr>
            </w:pPr>
            <w:r w:rsidRPr="00D75CAC">
              <w:rPr>
                <w:rFonts w:ascii="Calibri" w:eastAsia="Times New Roman" w:hAnsi="Calibri" w:cs="Calibri"/>
                <w:color w:val="000000"/>
              </w:rPr>
              <w:t>Sr.</w:t>
            </w:r>
          </w:p>
        </w:tc>
        <w:tc>
          <w:tcPr>
            <w:tcW w:w="2050" w:type="pct"/>
            <w:hideMark/>
          </w:tcPr>
          <w:p w:rsidR="00D75CAC" w:rsidRPr="00D75CAC" w:rsidRDefault="00D75CAC" w:rsidP="00D75CAC">
            <w:pPr>
              <w:jc w:val="center"/>
              <w:cnfStyle w:val="100000000000"/>
              <w:rPr>
                <w:rFonts w:ascii="Calibri" w:eastAsia="Times New Roman" w:hAnsi="Calibri" w:cs="Calibri"/>
                <w:b w:val="0"/>
                <w:color w:val="000000"/>
              </w:rPr>
            </w:pPr>
            <w:r w:rsidRPr="00D75CAC">
              <w:rPr>
                <w:rFonts w:ascii="Calibri" w:eastAsia="Times New Roman" w:hAnsi="Calibri" w:cs="Calibri"/>
                <w:color w:val="000000"/>
              </w:rPr>
              <w:t>Particulars</w:t>
            </w:r>
          </w:p>
        </w:tc>
        <w:tc>
          <w:tcPr>
            <w:tcW w:w="593" w:type="pct"/>
            <w:hideMark/>
          </w:tcPr>
          <w:p w:rsidR="00D75CAC" w:rsidRPr="00D75CAC" w:rsidRDefault="00D75CAC" w:rsidP="00D75CAC">
            <w:pPr>
              <w:jc w:val="center"/>
              <w:cnfStyle w:val="100000000000"/>
              <w:rPr>
                <w:rFonts w:ascii="Calibri" w:eastAsia="Times New Roman" w:hAnsi="Calibri" w:cs="Calibri"/>
                <w:b w:val="0"/>
                <w:color w:val="000000"/>
              </w:rPr>
            </w:pPr>
            <w:r w:rsidRPr="00D75CAC">
              <w:rPr>
                <w:rFonts w:ascii="Calibri" w:eastAsia="Times New Roman" w:hAnsi="Calibri" w:cs="Calibri"/>
                <w:color w:val="000000"/>
              </w:rPr>
              <w:t>Unit</w:t>
            </w:r>
          </w:p>
        </w:tc>
        <w:tc>
          <w:tcPr>
            <w:tcW w:w="617" w:type="pct"/>
            <w:hideMark/>
          </w:tcPr>
          <w:p w:rsidR="00D75CAC" w:rsidRPr="00D75CAC" w:rsidRDefault="00D75CAC" w:rsidP="00D75CAC">
            <w:pPr>
              <w:jc w:val="center"/>
              <w:cnfStyle w:val="100000000000"/>
              <w:rPr>
                <w:rFonts w:ascii="Calibri" w:eastAsia="Times New Roman" w:hAnsi="Calibri" w:cs="Calibri"/>
                <w:b w:val="0"/>
                <w:color w:val="000000"/>
              </w:rPr>
            </w:pPr>
            <w:r w:rsidRPr="00D75CAC">
              <w:rPr>
                <w:rFonts w:ascii="Calibri" w:eastAsia="Times New Roman" w:hAnsi="Calibri" w:cs="Calibri"/>
                <w:color w:val="000000"/>
              </w:rPr>
              <w:t>Quantity</w:t>
            </w:r>
          </w:p>
        </w:tc>
        <w:tc>
          <w:tcPr>
            <w:tcW w:w="654" w:type="pct"/>
            <w:hideMark/>
          </w:tcPr>
          <w:p w:rsidR="00D75CAC" w:rsidRPr="00D75CAC" w:rsidRDefault="00D75CAC" w:rsidP="00D75CAC">
            <w:pPr>
              <w:jc w:val="center"/>
              <w:cnfStyle w:val="100000000000"/>
              <w:rPr>
                <w:rFonts w:ascii="Calibri" w:eastAsia="Times New Roman" w:hAnsi="Calibri" w:cs="Calibri"/>
                <w:b w:val="0"/>
                <w:color w:val="000000"/>
              </w:rPr>
            </w:pPr>
            <w:r w:rsidRPr="00D75CAC">
              <w:rPr>
                <w:rFonts w:ascii="Calibri" w:eastAsia="Times New Roman" w:hAnsi="Calibri" w:cs="Calibri"/>
                <w:color w:val="000000"/>
              </w:rPr>
              <w:t>Rate (MMK)</w:t>
            </w:r>
          </w:p>
        </w:tc>
        <w:tc>
          <w:tcPr>
            <w:tcW w:w="753" w:type="pct"/>
            <w:hideMark/>
          </w:tcPr>
          <w:p w:rsidR="00D75CAC" w:rsidRPr="00D75CAC" w:rsidRDefault="007A7A17" w:rsidP="00D75CAC">
            <w:pPr>
              <w:jc w:val="center"/>
              <w:cnfStyle w:val="100000000000"/>
              <w:rPr>
                <w:rFonts w:ascii="Calibri" w:eastAsia="Times New Roman" w:hAnsi="Calibri" w:cs="Calibri"/>
                <w:b w:val="0"/>
                <w:color w:val="000000"/>
              </w:rPr>
            </w:pPr>
            <w:r>
              <w:rPr>
                <w:rFonts w:ascii="Calibri" w:eastAsia="Times New Roman" w:hAnsi="Calibri" w:cs="Calibri"/>
                <w:color w:val="000000"/>
              </w:rPr>
              <w:t>Amount (USD</w:t>
            </w:r>
            <w:r w:rsidR="00D75CAC" w:rsidRPr="00D75CAC">
              <w:rPr>
                <w:rFonts w:ascii="Calibri" w:eastAsia="Times New Roman" w:hAnsi="Calibri" w:cs="Calibri"/>
                <w:color w:val="000000"/>
              </w:rPr>
              <w:t>)</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Myaw Post (4 inches diameter)</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No</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38</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2</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100</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2</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Myaw Post (2 inches diameter)</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No</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11</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17</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3</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Bamboo Mat</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Sft</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1570</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170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281</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4</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Wire Nails</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Viss</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7</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2</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18</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5</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30G CG I Sheets</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No</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12</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5</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69</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6</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Roofing Nails</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Viss</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2</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7</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Local hard wood</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Ton</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0.15</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450</w:t>
            </w:r>
            <w:r>
              <w:rPr>
                <w:rFonts w:ascii="Calibri" w:eastAsia="Times New Roman" w:hAnsi="Calibri" w:cs="Calibri"/>
                <w:color w:val="000000"/>
              </w:rPr>
              <w:t>,</w:t>
            </w:r>
            <w:r w:rsidRPr="00D75CAC">
              <w:rPr>
                <w:rFonts w:ascii="Calibri" w:eastAsia="Times New Roman" w:hAnsi="Calibri" w:cs="Calibri"/>
                <w:color w:val="000000"/>
              </w:rPr>
              <w:t>000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71</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8</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Bamboo</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No</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30</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9</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9</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Sand</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Sud</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2</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15</w:t>
            </w:r>
            <w:r>
              <w:rPr>
                <w:rFonts w:ascii="Calibri" w:eastAsia="Times New Roman" w:hAnsi="Calibri" w:cs="Calibri"/>
                <w:color w:val="000000"/>
              </w:rPr>
              <w:t>,</w:t>
            </w:r>
            <w:r w:rsidRPr="00D75CAC">
              <w:rPr>
                <w:rFonts w:ascii="Calibri" w:eastAsia="Times New Roman" w:hAnsi="Calibri" w:cs="Calibri"/>
                <w:color w:val="000000"/>
              </w:rPr>
              <w:t>000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32</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10</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Gravel</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Sud</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60</w:t>
            </w:r>
            <w:r>
              <w:rPr>
                <w:rFonts w:ascii="Calibri" w:eastAsia="Times New Roman" w:hAnsi="Calibri" w:cs="Calibri"/>
                <w:color w:val="000000"/>
              </w:rPr>
              <w:t>,</w:t>
            </w:r>
            <w:r w:rsidRPr="00D75CAC">
              <w:rPr>
                <w:rFonts w:ascii="Calibri" w:eastAsia="Times New Roman" w:hAnsi="Calibri" w:cs="Calibri"/>
                <w:color w:val="000000"/>
              </w:rPr>
              <w:t>000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63</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11</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Bricks</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No</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240</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63</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16</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12</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Cement</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Bag</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5</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7</w:t>
            </w:r>
            <w:r>
              <w:rPr>
                <w:rFonts w:ascii="Calibri" w:eastAsia="Times New Roman" w:hAnsi="Calibri" w:cs="Calibri"/>
                <w:color w:val="000000"/>
              </w:rPr>
              <w:t>,</w:t>
            </w:r>
            <w:r w:rsidRPr="00D75CAC">
              <w:rPr>
                <w:rFonts w:ascii="Calibri" w:eastAsia="Times New Roman" w:hAnsi="Calibri" w:cs="Calibri"/>
                <w:color w:val="000000"/>
              </w:rPr>
              <w:t>000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37</w:t>
            </w:r>
          </w:p>
        </w:tc>
      </w:tr>
      <w:tr w:rsidR="00D75CAC" w:rsidRPr="00D75CAC" w:rsidTr="002C35D4">
        <w:trPr>
          <w:cnfStyle w:val="000000100000"/>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13</w:t>
            </w:r>
          </w:p>
        </w:tc>
        <w:tc>
          <w:tcPr>
            <w:tcW w:w="2050" w:type="pct"/>
            <w:noWrap/>
            <w:hideMark/>
          </w:tcPr>
          <w:p w:rsidR="00D75CAC" w:rsidRPr="00D75CAC" w:rsidRDefault="00D75CAC" w:rsidP="00D75CAC">
            <w:pPr>
              <w:ind w:firstLineChars="100" w:firstLine="220"/>
              <w:cnfStyle w:val="000000100000"/>
              <w:rPr>
                <w:rFonts w:ascii="Calibri" w:eastAsia="Times New Roman" w:hAnsi="Calibri" w:cs="Calibri"/>
                <w:color w:val="000000"/>
              </w:rPr>
            </w:pPr>
            <w:r w:rsidRPr="00D75CAC">
              <w:rPr>
                <w:rFonts w:ascii="Calibri" w:eastAsia="Times New Roman" w:hAnsi="Calibri" w:cs="Calibri"/>
                <w:color w:val="000000"/>
              </w:rPr>
              <w:t>Skilled Workers</w:t>
            </w:r>
          </w:p>
        </w:tc>
        <w:tc>
          <w:tcPr>
            <w:tcW w:w="593" w:type="pct"/>
            <w:noWrap/>
            <w:hideMark/>
          </w:tcPr>
          <w:p w:rsidR="00D75CAC" w:rsidRPr="00D75CAC" w:rsidRDefault="00D75CAC" w:rsidP="00D75CAC">
            <w:pPr>
              <w:jc w:val="center"/>
              <w:cnfStyle w:val="000000100000"/>
              <w:rPr>
                <w:rFonts w:ascii="Calibri" w:eastAsia="Times New Roman" w:hAnsi="Calibri" w:cs="Calibri"/>
                <w:color w:val="000000"/>
              </w:rPr>
            </w:pPr>
            <w:r w:rsidRPr="00D75CAC">
              <w:rPr>
                <w:rFonts w:ascii="Calibri" w:eastAsia="Times New Roman" w:hAnsi="Calibri" w:cs="Calibri"/>
                <w:color w:val="000000"/>
              </w:rPr>
              <w:t>M/D</w:t>
            </w:r>
          </w:p>
        </w:tc>
        <w:tc>
          <w:tcPr>
            <w:tcW w:w="617"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19</w:t>
            </w:r>
          </w:p>
        </w:tc>
        <w:tc>
          <w:tcPr>
            <w:tcW w:w="654"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4</w:t>
            </w:r>
            <w:r>
              <w:rPr>
                <w:rFonts w:ascii="Calibri" w:eastAsia="Times New Roman" w:hAnsi="Calibri" w:cs="Calibri"/>
                <w:color w:val="000000"/>
              </w:rPr>
              <w:t>,</w:t>
            </w:r>
            <w:r w:rsidRPr="00D75CAC">
              <w:rPr>
                <w:rFonts w:ascii="Calibri" w:eastAsia="Times New Roman" w:hAnsi="Calibri" w:cs="Calibri"/>
                <w:color w:val="000000"/>
              </w:rPr>
              <w:t>500</w:t>
            </w:r>
          </w:p>
        </w:tc>
        <w:tc>
          <w:tcPr>
            <w:tcW w:w="753" w:type="pct"/>
            <w:noWrap/>
            <w:hideMark/>
          </w:tcPr>
          <w:p w:rsidR="00D75CAC" w:rsidRPr="00D75CAC" w:rsidRDefault="00D75CAC" w:rsidP="00D75CAC">
            <w:pPr>
              <w:jc w:val="right"/>
              <w:cnfStyle w:val="000000100000"/>
              <w:rPr>
                <w:rFonts w:ascii="Calibri" w:eastAsia="Times New Roman" w:hAnsi="Calibri" w:cs="Calibri"/>
                <w:color w:val="000000"/>
              </w:rPr>
            </w:pPr>
            <w:r w:rsidRPr="00D75CAC">
              <w:rPr>
                <w:rFonts w:ascii="Calibri" w:eastAsia="Times New Roman" w:hAnsi="Calibri" w:cs="Calibri"/>
                <w:color w:val="000000"/>
              </w:rPr>
              <w:t>90</w:t>
            </w:r>
          </w:p>
        </w:tc>
      </w:tr>
      <w:tr w:rsidR="00D75CAC" w:rsidRPr="00D75CAC" w:rsidTr="002C35D4">
        <w:trPr>
          <w:trHeight w:val="20"/>
        </w:trPr>
        <w:tc>
          <w:tcPr>
            <w:cnfStyle w:val="001000000000"/>
            <w:tcW w:w="333" w:type="pct"/>
            <w:noWrap/>
            <w:hideMark/>
          </w:tcPr>
          <w:p w:rsidR="00D75CAC" w:rsidRPr="00D75CAC" w:rsidRDefault="00D75CAC" w:rsidP="00D75CAC">
            <w:pPr>
              <w:jc w:val="center"/>
              <w:rPr>
                <w:rFonts w:ascii="Calibri" w:eastAsia="Times New Roman" w:hAnsi="Calibri" w:cs="Calibri"/>
                <w:color w:val="000000"/>
              </w:rPr>
            </w:pPr>
            <w:r w:rsidRPr="00D75CAC">
              <w:rPr>
                <w:rFonts w:ascii="Calibri" w:eastAsia="Times New Roman" w:hAnsi="Calibri" w:cs="Calibri"/>
                <w:color w:val="000000"/>
              </w:rPr>
              <w:t>14</w:t>
            </w:r>
          </w:p>
        </w:tc>
        <w:tc>
          <w:tcPr>
            <w:tcW w:w="2050" w:type="pct"/>
            <w:noWrap/>
            <w:hideMark/>
          </w:tcPr>
          <w:p w:rsidR="00D75CAC" w:rsidRPr="00D75CAC" w:rsidRDefault="00D75CAC" w:rsidP="00D75CAC">
            <w:pPr>
              <w:ind w:firstLineChars="100" w:firstLine="220"/>
              <w:cnfStyle w:val="000000000000"/>
              <w:rPr>
                <w:rFonts w:ascii="Calibri" w:eastAsia="Times New Roman" w:hAnsi="Calibri" w:cs="Calibri"/>
                <w:color w:val="000000"/>
              </w:rPr>
            </w:pPr>
            <w:r w:rsidRPr="00D75CAC">
              <w:rPr>
                <w:rFonts w:ascii="Calibri" w:eastAsia="Times New Roman" w:hAnsi="Calibri" w:cs="Calibri"/>
                <w:color w:val="000000"/>
              </w:rPr>
              <w:t>Workers</w:t>
            </w:r>
          </w:p>
        </w:tc>
        <w:tc>
          <w:tcPr>
            <w:tcW w:w="593" w:type="pct"/>
            <w:noWrap/>
            <w:hideMark/>
          </w:tcPr>
          <w:p w:rsidR="00D75CAC" w:rsidRPr="00D75CAC" w:rsidRDefault="00D75CAC" w:rsidP="00D75CAC">
            <w:pPr>
              <w:jc w:val="center"/>
              <w:cnfStyle w:val="000000000000"/>
              <w:rPr>
                <w:rFonts w:ascii="Calibri" w:eastAsia="Times New Roman" w:hAnsi="Calibri" w:cs="Calibri"/>
                <w:color w:val="000000"/>
              </w:rPr>
            </w:pPr>
            <w:r w:rsidRPr="00D75CAC">
              <w:rPr>
                <w:rFonts w:ascii="Calibri" w:eastAsia="Times New Roman" w:hAnsi="Calibri" w:cs="Calibri"/>
                <w:color w:val="000000"/>
              </w:rPr>
              <w:t>M/D</w:t>
            </w:r>
          </w:p>
        </w:tc>
        <w:tc>
          <w:tcPr>
            <w:tcW w:w="617"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11</w:t>
            </w:r>
          </w:p>
        </w:tc>
        <w:tc>
          <w:tcPr>
            <w:tcW w:w="654"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w:t>
            </w:r>
            <w:r>
              <w:rPr>
                <w:rFonts w:ascii="Calibri" w:eastAsia="Times New Roman" w:hAnsi="Calibri" w:cs="Calibri"/>
                <w:color w:val="000000"/>
              </w:rPr>
              <w:t>,</w:t>
            </w:r>
            <w:r w:rsidRPr="00D75CAC">
              <w:rPr>
                <w:rFonts w:ascii="Calibri" w:eastAsia="Times New Roman" w:hAnsi="Calibri" w:cs="Calibri"/>
                <w:color w:val="000000"/>
              </w:rPr>
              <w:t>000</w:t>
            </w:r>
          </w:p>
        </w:tc>
        <w:tc>
          <w:tcPr>
            <w:tcW w:w="753" w:type="pct"/>
            <w:noWrap/>
            <w:hideMark/>
          </w:tcPr>
          <w:p w:rsidR="00D75CAC" w:rsidRPr="00D75CAC" w:rsidRDefault="00D75CAC" w:rsidP="00D75CAC">
            <w:pPr>
              <w:jc w:val="right"/>
              <w:cnfStyle w:val="000000000000"/>
              <w:rPr>
                <w:rFonts w:ascii="Calibri" w:eastAsia="Times New Roman" w:hAnsi="Calibri" w:cs="Calibri"/>
                <w:color w:val="000000"/>
              </w:rPr>
            </w:pPr>
            <w:r w:rsidRPr="00D75CAC">
              <w:rPr>
                <w:rFonts w:ascii="Calibri" w:eastAsia="Times New Roman" w:hAnsi="Calibri" w:cs="Calibri"/>
                <w:color w:val="000000"/>
              </w:rPr>
              <w:t>35</w:t>
            </w:r>
          </w:p>
        </w:tc>
      </w:tr>
      <w:tr w:rsidR="00D75CAC" w:rsidRPr="00D75CAC" w:rsidTr="002C35D4">
        <w:trPr>
          <w:cnfStyle w:val="000000100000"/>
          <w:trHeight w:val="20"/>
        </w:trPr>
        <w:tc>
          <w:tcPr>
            <w:cnfStyle w:val="001000000000"/>
            <w:tcW w:w="4247" w:type="pct"/>
            <w:gridSpan w:val="5"/>
            <w:noWrap/>
            <w:hideMark/>
          </w:tcPr>
          <w:p w:rsidR="00D75CAC" w:rsidRPr="00D75CAC" w:rsidRDefault="00D75CAC" w:rsidP="00D75CAC">
            <w:pPr>
              <w:ind w:firstLineChars="100" w:firstLine="221"/>
              <w:jc w:val="right"/>
              <w:rPr>
                <w:rFonts w:ascii="Calibri" w:eastAsia="Times New Roman" w:hAnsi="Calibri" w:cs="Calibri"/>
                <w:b w:val="0"/>
                <w:color w:val="000000"/>
              </w:rPr>
            </w:pPr>
            <w:r w:rsidRPr="00D75CAC">
              <w:rPr>
                <w:rFonts w:ascii="Calibri" w:eastAsia="Times New Roman" w:hAnsi="Calibri" w:cs="Calibri"/>
                <w:color w:val="000000"/>
              </w:rPr>
              <w:t>Sub-total</w:t>
            </w:r>
          </w:p>
        </w:tc>
        <w:tc>
          <w:tcPr>
            <w:tcW w:w="753" w:type="pct"/>
            <w:noWrap/>
            <w:hideMark/>
          </w:tcPr>
          <w:p w:rsidR="00D75CAC" w:rsidRPr="00D75CAC" w:rsidRDefault="00D75CAC" w:rsidP="00D75CAC">
            <w:pPr>
              <w:jc w:val="right"/>
              <w:cnfStyle w:val="000000100000"/>
              <w:rPr>
                <w:rFonts w:ascii="Calibri" w:eastAsia="Times New Roman" w:hAnsi="Calibri" w:cs="Calibri"/>
                <w:b/>
                <w:color w:val="000000"/>
              </w:rPr>
            </w:pPr>
            <w:r w:rsidRPr="00D75CAC">
              <w:rPr>
                <w:rFonts w:ascii="Calibri" w:eastAsia="Times New Roman" w:hAnsi="Calibri" w:cs="Calibri"/>
                <w:b/>
                <w:color w:val="000000"/>
              </w:rPr>
              <w:t>842</w:t>
            </w:r>
          </w:p>
        </w:tc>
      </w:tr>
      <w:tr w:rsidR="00D75CAC" w:rsidRPr="00D75CAC" w:rsidTr="002C35D4">
        <w:trPr>
          <w:trHeight w:val="20"/>
        </w:trPr>
        <w:tc>
          <w:tcPr>
            <w:cnfStyle w:val="001000000000"/>
            <w:tcW w:w="4247" w:type="pct"/>
            <w:gridSpan w:val="5"/>
            <w:noWrap/>
            <w:hideMark/>
          </w:tcPr>
          <w:p w:rsidR="00D75CAC" w:rsidRPr="00D75CAC" w:rsidRDefault="00D75CAC" w:rsidP="00D75CAC">
            <w:pPr>
              <w:ind w:firstLineChars="100" w:firstLine="221"/>
              <w:jc w:val="right"/>
              <w:rPr>
                <w:rFonts w:ascii="Calibri" w:eastAsia="Times New Roman" w:hAnsi="Calibri" w:cs="Calibri"/>
                <w:b w:val="0"/>
                <w:color w:val="000000"/>
              </w:rPr>
            </w:pPr>
            <w:r w:rsidRPr="00D75CAC">
              <w:rPr>
                <w:rFonts w:ascii="Calibri" w:eastAsia="Times New Roman" w:hAnsi="Calibri" w:cs="Calibri"/>
                <w:color w:val="000000"/>
              </w:rPr>
              <w:t>Contingency 5%</w:t>
            </w:r>
          </w:p>
        </w:tc>
        <w:tc>
          <w:tcPr>
            <w:tcW w:w="753" w:type="pct"/>
            <w:noWrap/>
            <w:hideMark/>
          </w:tcPr>
          <w:p w:rsidR="00D75CAC" w:rsidRPr="00D75CAC" w:rsidRDefault="00D75CAC" w:rsidP="00D75CAC">
            <w:pPr>
              <w:jc w:val="right"/>
              <w:cnfStyle w:val="000000000000"/>
              <w:rPr>
                <w:rFonts w:ascii="Calibri" w:eastAsia="Times New Roman" w:hAnsi="Calibri" w:cs="Calibri"/>
                <w:b/>
                <w:color w:val="000000"/>
              </w:rPr>
            </w:pPr>
            <w:r w:rsidRPr="00D75CAC">
              <w:rPr>
                <w:rFonts w:ascii="Calibri" w:eastAsia="Times New Roman" w:hAnsi="Calibri" w:cs="Calibri"/>
                <w:b/>
                <w:color w:val="000000"/>
              </w:rPr>
              <w:t>42</w:t>
            </w:r>
          </w:p>
        </w:tc>
      </w:tr>
      <w:tr w:rsidR="00D75CAC" w:rsidRPr="00D75CAC" w:rsidTr="002C35D4">
        <w:trPr>
          <w:cnfStyle w:val="000000100000"/>
          <w:trHeight w:val="20"/>
        </w:trPr>
        <w:tc>
          <w:tcPr>
            <w:cnfStyle w:val="001000000000"/>
            <w:tcW w:w="4247" w:type="pct"/>
            <w:gridSpan w:val="5"/>
            <w:noWrap/>
            <w:hideMark/>
          </w:tcPr>
          <w:p w:rsidR="00D75CAC" w:rsidRPr="00D75CAC" w:rsidRDefault="00D75CAC" w:rsidP="00D75CAC">
            <w:pPr>
              <w:ind w:firstLineChars="100" w:firstLine="221"/>
              <w:jc w:val="right"/>
              <w:rPr>
                <w:rFonts w:ascii="Calibri" w:eastAsia="Times New Roman" w:hAnsi="Calibri" w:cs="Calibri"/>
                <w:b w:val="0"/>
                <w:color w:val="000000"/>
              </w:rPr>
            </w:pPr>
            <w:r w:rsidRPr="00D75CAC">
              <w:rPr>
                <w:rFonts w:ascii="Calibri" w:eastAsia="Times New Roman" w:hAnsi="Calibri" w:cs="Calibri"/>
                <w:color w:val="000000"/>
              </w:rPr>
              <w:t>Total (1USD= 950 MMK)</w:t>
            </w:r>
          </w:p>
        </w:tc>
        <w:tc>
          <w:tcPr>
            <w:tcW w:w="753" w:type="pct"/>
            <w:noWrap/>
            <w:hideMark/>
          </w:tcPr>
          <w:p w:rsidR="00D75CAC" w:rsidRPr="00D75CAC" w:rsidRDefault="00D75CAC" w:rsidP="00D75CAC">
            <w:pPr>
              <w:jc w:val="right"/>
              <w:cnfStyle w:val="000000100000"/>
              <w:rPr>
                <w:rFonts w:ascii="Calibri" w:eastAsia="Times New Roman" w:hAnsi="Calibri" w:cs="Calibri"/>
                <w:b/>
                <w:color w:val="000000"/>
              </w:rPr>
            </w:pPr>
            <w:r w:rsidRPr="00D75CAC">
              <w:rPr>
                <w:rFonts w:ascii="Calibri" w:eastAsia="Times New Roman" w:hAnsi="Calibri" w:cs="Calibri"/>
                <w:b/>
                <w:color w:val="000000"/>
              </w:rPr>
              <w:t>884</w:t>
            </w:r>
          </w:p>
        </w:tc>
      </w:tr>
    </w:tbl>
    <w:p w:rsidR="008510ED" w:rsidRDefault="008510ED" w:rsidP="00486BD8">
      <w:pPr>
        <w:pStyle w:val="Subtitle"/>
      </w:pPr>
    </w:p>
    <w:p w:rsidR="00630CA2" w:rsidRPr="00A82C72" w:rsidRDefault="00630CA2" w:rsidP="007C2CF4">
      <w:pPr>
        <w:pStyle w:val="Subtitle"/>
        <w:pBdr>
          <w:bottom w:val="thinThickSmallGap" w:sz="18" w:space="1" w:color="4F81BD" w:themeColor="accent1"/>
        </w:pBdr>
      </w:pPr>
      <w:r>
        <w:t>Main Findings &amp; Lesson Learned</w:t>
      </w:r>
    </w:p>
    <w:p w:rsidR="00426CDF" w:rsidRPr="00774760" w:rsidRDefault="001128E6" w:rsidP="00426CDF">
      <w:pPr>
        <w:spacing w:after="0"/>
        <w:ind w:firstLine="360"/>
        <w:jc w:val="both"/>
        <w:rPr>
          <w:rFonts w:cstheme="minorHAnsi"/>
          <w:bCs/>
        </w:rPr>
      </w:pPr>
      <w:r>
        <w:rPr>
          <w:rFonts w:cstheme="minorHAnsi"/>
          <w:bCs/>
        </w:rPr>
        <w:t>Before the development of the design, t</w:t>
      </w:r>
      <w:r w:rsidR="00630CA2" w:rsidRPr="00774760">
        <w:rPr>
          <w:rFonts w:cstheme="minorHAnsi"/>
          <w:bCs/>
        </w:rPr>
        <w:t xml:space="preserve">he participatory approach with </w:t>
      </w:r>
      <w:r w:rsidR="00426CDF" w:rsidRPr="00774760">
        <w:rPr>
          <w:rFonts w:cstheme="minorHAnsi"/>
          <w:bCs/>
        </w:rPr>
        <w:t>women</w:t>
      </w:r>
      <w:r w:rsidR="00630CA2" w:rsidRPr="00774760">
        <w:rPr>
          <w:rFonts w:cstheme="minorHAnsi"/>
          <w:bCs/>
        </w:rPr>
        <w:t xml:space="preserve"> has been applied. The findings fro</w:t>
      </w:r>
      <w:r w:rsidR="00426CDF" w:rsidRPr="00774760">
        <w:rPr>
          <w:rFonts w:cstheme="minorHAnsi"/>
          <w:bCs/>
        </w:rPr>
        <w:t>m the consultation with women</w:t>
      </w:r>
      <w:r w:rsidR="00630CA2" w:rsidRPr="00774760">
        <w:rPr>
          <w:rFonts w:cstheme="minorHAnsi"/>
          <w:bCs/>
        </w:rPr>
        <w:t xml:space="preserve"> were incorporated in the finalisation o</w:t>
      </w:r>
      <w:r w:rsidR="002949BD">
        <w:rPr>
          <w:rFonts w:cstheme="minorHAnsi"/>
          <w:bCs/>
        </w:rPr>
        <w:t>f the design. It was lea</w:t>
      </w:r>
      <w:r w:rsidR="00A023B2">
        <w:rPr>
          <w:rFonts w:cstheme="minorHAnsi"/>
          <w:bCs/>
        </w:rPr>
        <w:t>rn</w:t>
      </w:r>
      <w:r w:rsidR="00426CDF" w:rsidRPr="00774760">
        <w:rPr>
          <w:rFonts w:cstheme="minorHAnsi"/>
          <w:bCs/>
        </w:rPr>
        <w:t>ed that these bathing facilities would only be used by women and that the men and young children would prefer to</w:t>
      </w:r>
      <w:r w:rsidR="00510AF5">
        <w:rPr>
          <w:rFonts w:cstheme="minorHAnsi"/>
          <w:bCs/>
        </w:rPr>
        <w:t xml:space="preserve"> take</w:t>
      </w:r>
      <w:r w:rsidR="00426CDF" w:rsidRPr="00774760">
        <w:rPr>
          <w:rFonts w:cstheme="minorHAnsi"/>
          <w:bCs/>
        </w:rPr>
        <w:t xml:space="preserve"> bathe in the open air at the handpump.</w:t>
      </w:r>
    </w:p>
    <w:p w:rsidR="00426CDF" w:rsidRPr="00774760" w:rsidRDefault="002949BD" w:rsidP="00426CDF">
      <w:pPr>
        <w:spacing w:after="0"/>
        <w:ind w:firstLine="360"/>
        <w:jc w:val="both"/>
        <w:rPr>
          <w:rFonts w:cstheme="minorHAnsi"/>
          <w:bCs/>
        </w:rPr>
      </w:pPr>
      <w:r>
        <w:rPr>
          <w:rFonts w:cstheme="minorHAnsi"/>
          <w:bCs/>
        </w:rPr>
        <w:t>When consulting with the women, they initially</w:t>
      </w:r>
      <w:r w:rsidR="00426CDF" w:rsidRPr="00774760">
        <w:rPr>
          <w:rFonts w:cstheme="minorHAnsi"/>
          <w:bCs/>
        </w:rPr>
        <w:t xml:space="preserve"> stated a preference for individual bathing facilities attached to their shelter. However, </w:t>
      </w:r>
      <w:r>
        <w:rPr>
          <w:rFonts w:cstheme="minorHAnsi"/>
          <w:bCs/>
        </w:rPr>
        <w:t>it was explained that there are various limitations (space, cost, labour forces etc.)</w:t>
      </w:r>
      <w:r w:rsidR="005865A0">
        <w:rPr>
          <w:rFonts w:cstheme="minorHAnsi"/>
          <w:bCs/>
        </w:rPr>
        <w:t xml:space="preserve"> </w:t>
      </w:r>
      <w:r>
        <w:rPr>
          <w:rFonts w:cstheme="minorHAnsi"/>
          <w:bCs/>
        </w:rPr>
        <w:t xml:space="preserve">to provide the individual bathing facilities and thus, </w:t>
      </w:r>
      <w:r w:rsidR="00426CDF" w:rsidRPr="00774760">
        <w:rPr>
          <w:rFonts w:cstheme="minorHAnsi"/>
          <w:bCs/>
        </w:rPr>
        <w:t>only communal bat</w:t>
      </w:r>
      <w:r>
        <w:rPr>
          <w:rFonts w:cstheme="minorHAnsi"/>
          <w:bCs/>
        </w:rPr>
        <w:t>hing facilities could be possible during the period. As a consequence, the bathing facilities were designed with</w:t>
      </w:r>
      <w:r w:rsidR="00774760" w:rsidRPr="00774760">
        <w:rPr>
          <w:rFonts w:cstheme="minorHAnsi"/>
          <w:bCs/>
        </w:rPr>
        <w:t xml:space="preserve"> individual cubicl</w:t>
      </w:r>
      <w:r w:rsidR="00426CDF" w:rsidRPr="00774760">
        <w:rPr>
          <w:rFonts w:cstheme="minorHAnsi"/>
          <w:bCs/>
        </w:rPr>
        <w:t>es</w:t>
      </w:r>
      <w:r>
        <w:rPr>
          <w:rFonts w:cstheme="minorHAnsi"/>
          <w:bCs/>
        </w:rPr>
        <w:t xml:space="preserve"> rather than the open space.</w:t>
      </w:r>
    </w:p>
    <w:p w:rsidR="00426CDF" w:rsidRDefault="00426CDF" w:rsidP="00426CDF">
      <w:pPr>
        <w:spacing w:after="0"/>
        <w:ind w:firstLine="360"/>
        <w:jc w:val="both"/>
        <w:rPr>
          <w:rFonts w:cstheme="minorHAnsi"/>
          <w:bCs/>
        </w:rPr>
      </w:pPr>
      <w:r w:rsidRPr="00774760">
        <w:rPr>
          <w:rFonts w:cstheme="minorHAnsi"/>
          <w:bCs/>
        </w:rPr>
        <w:lastRenderedPageBreak/>
        <w:t>Further discussion revealed that the primary reason for wanting interna</w:t>
      </w:r>
      <w:r w:rsidR="002949BD">
        <w:rPr>
          <w:rFonts w:cstheme="minorHAnsi"/>
          <w:bCs/>
        </w:rPr>
        <w:t>l</w:t>
      </w:r>
      <w:r w:rsidRPr="00774760">
        <w:rPr>
          <w:rFonts w:cstheme="minorHAnsi"/>
          <w:bCs/>
        </w:rPr>
        <w:t xml:space="preserve"> partitions was to provide individual</w:t>
      </w:r>
      <w:r w:rsidR="00774760" w:rsidRPr="00774760">
        <w:rPr>
          <w:rFonts w:cstheme="minorHAnsi"/>
          <w:bCs/>
        </w:rPr>
        <w:t xml:space="preserve"> </w:t>
      </w:r>
      <w:r w:rsidRPr="00774760">
        <w:rPr>
          <w:rFonts w:cstheme="minorHAnsi"/>
          <w:bCs/>
        </w:rPr>
        <w:t>sp</w:t>
      </w:r>
      <w:r w:rsidR="002949BD">
        <w:rPr>
          <w:rFonts w:cstheme="minorHAnsi"/>
          <w:bCs/>
        </w:rPr>
        <w:t>ace for bathing rather than privacy and that bathing was a ti</w:t>
      </w:r>
      <w:r w:rsidRPr="00774760">
        <w:rPr>
          <w:rFonts w:cstheme="minorHAnsi"/>
          <w:bCs/>
        </w:rPr>
        <w:t>me that women liked to talk to one another and</w:t>
      </w:r>
      <w:r w:rsidR="00774760" w:rsidRPr="00774760">
        <w:rPr>
          <w:rFonts w:cstheme="minorHAnsi"/>
          <w:bCs/>
        </w:rPr>
        <w:t xml:space="preserve"> </w:t>
      </w:r>
      <w:r w:rsidRPr="00774760">
        <w:rPr>
          <w:rFonts w:cstheme="minorHAnsi"/>
          <w:bCs/>
        </w:rPr>
        <w:t>socialize. It wa</w:t>
      </w:r>
      <w:r w:rsidR="002949BD">
        <w:rPr>
          <w:rFonts w:cstheme="minorHAnsi"/>
          <w:bCs/>
        </w:rPr>
        <w:t>s therefore agreed that internal partitions</w:t>
      </w:r>
      <w:r w:rsidRPr="00774760">
        <w:rPr>
          <w:rFonts w:cstheme="minorHAnsi"/>
          <w:bCs/>
        </w:rPr>
        <w:t xml:space="preserve"> would be low enough for women to see each</w:t>
      </w:r>
      <w:r w:rsidR="00774760" w:rsidRPr="00774760">
        <w:rPr>
          <w:rFonts w:cstheme="minorHAnsi"/>
          <w:bCs/>
        </w:rPr>
        <w:t xml:space="preserve"> </w:t>
      </w:r>
      <w:r w:rsidRPr="00774760">
        <w:rPr>
          <w:rFonts w:cstheme="minorHAnsi"/>
          <w:bCs/>
        </w:rPr>
        <w:t>others</w:t>
      </w:r>
      <w:r w:rsidR="002949BD">
        <w:rPr>
          <w:rFonts w:cstheme="minorHAnsi"/>
          <w:bCs/>
        </w:rPr>
        <w:t>’</w:t>
      </w:r>
      <w:r w:rsidRPr="00774760">
        <w:rPr>
          <w:rFonts w:cstheme="minorHAnsi"/>
          <w:bCs/>
        </w:rPr>
        <w:t xml:space="preserve"> </w:t>
      </w:r>
      <w:r w:rsidR="00774760" w:rsidRPr="00774760">
        <w:rPr>
          <w:rFonts w:cstheme="minorHAnsi"/>
          <w:bCs/>
        </w:rPr>
        <w:t>heads but would provide personal spa</w:t>
      </w:r>
      <w:r w:rsidRPr="00774760">
        <w:rPr>
          <w:rFonts w:cstheme="minorHAnsi"/>
          <w:bCs/>
        </w:rPr>
        <w:t>ce for bathing.</w:t>
      </w:r>
    </w:p>
    <w:p w:rsidR="00774760" w:rsidRDefault="001128E6" w:rsidP="00426CDF">
      <w:pPr>
        <w:spacing w:after="0"/>
        <w:ind w:firstLine="360"/>
        <w:jc w:val="both"/>
        <w:rPr>
          <w:rFonts w:cstheme="minorHAnsi"/>
          <w:bCs/>
        </w:rPr>
      </w:pPr>
      <w:r>
        <w:rPr>
          <w:rFonts w:cstheme="minorHAnsi"/>
          <w:bCs/>
        </w:rPr>
        <w:t>After being used the bathing faci</w:t>
      </w:r>
      <w:r w:rsidR="00237D01">
        <w:rPr>
          <w:rFonts w:cstheme="minorHAnsi"/>
          <w:bCs/>
        </w:rPr>
        <w:t xml:space="preserve">lities for 6 months, the following important findings have been traced. </w:t>
      </w:r>
      <w:r w:rsidR="00774760">
        <w:rPr>
          <w:rFonts w:cstheme="minorHAnsi"/>
          <w:bCs/>
        </w:rPr>
        <w:t>The bathing facilities have open entrances which is difficult to prevent children and men entering into these facilities</w:t>
      </w:r>
      <w:r w:rsidR="00237D01">
        <w:rPr>
          <w:rFonts w:cstheme="minorHAnsi"/>
          <w:bCs/>
        </w:rPr>
        <w:t xml:space="preserve"> (even the clear labelling is in place). Sometimes,</w:t>
      </w:r>
      <w:r w:rsidR="00774760">
        <w:rPr>
          <w:rFonts w:cstheme="minorHAnsi"/>
          <w:bCs/>
        </w:rPr>
        <w:t xml:space="preserve"> people misuse the bathing areas</w:t>
      </w:r>
      <w:r w:rsidR="003912C2">
        <w:rPr>
          <w:rFonts w:cstheme="minorHAnsi"/>
          <w:bCs/>
        </w:rPr>
        <w:t xml:space="preserve"> for other purposes such as</w:t>
      </w:r>
      <w:r w:rsidR="00774760">
        <w:rPr>
          <w:rFonts w:cstheme="minorHAnsi"/>
          <w:bCs/>
        </w:rPr>
        <w:t xml:space="preserve"> urinals</w:t>
      </w:r>
      <w:r w:rsidR="00C75E53">
        <w:rPr>
          <w:rFonts w:cstheme="minorHAnsi"/>
          <w:bCs/>
        </w:rPr>
        <w:t xml:space="preserve"> and even defecation</w:t>
      </w:r>
      <w:r w:rsidR="00774760">
        <w:rPr>
          <w:rFonts w:cstheme="minorHAnsi"/>
          <w:bCs/>
        </w:rPr>
        <w:t xml:space="preserve">. </w:t>
      </w:r>
      <w:r w:rsidR="0042173D">
        <w:rPr>
          <w:rFonts w:cstheme="minorHAnsi"/>
          <w:bCs/>
        </w:rPr>
        <w:t>It is also indicated that the bathing facilities can be a potential target for violence since some inimical people can take advantage of the privacy</w:t>
      </w:r>
      <w:r w:rsidR="00C75E53">
        <w:rPr>
          <w:rFonts w:cstheme="minorHAnsi"/>
          <w:bCs/>
        </w:rPr>
        <w:t xml:space="preserve"> (walls, lock from inside etc.)</w:t>
      </w:r>
      <w:r w:rsidR="0042173D">
        <w:rPr>
          <w:rFonts w:cstheme="minorHAnsi"/>
          <w:bCs/>
        </w:rPr>
        <w:t>. Moreover, there are strong cultural reasons for women to take bath inside the house especially</w:t>
      </w:r>
      <w:r w:rsidR="003912C2">
        <w:rPr>
          <w:rFonts w:cstheme="minorHAnsi"/>
          <w:bCs/>
        </w:rPr>
        <w:t xml:space="preserve"> in the strict conservative man</w:t>
      </w:r>
      <w:r w:rsidR="0042173D">
        <w:rPr>
          <w:rFonts w:cstheme="minorHAnsi"/>
          <w:bCs/>
        </w:rPr>
        <w:t>–dominant environment</w:t>
      </w:r>
      <w:r w:rsidR="004D6B27">
        <w:rPr>
          <w:rStyle w:val="FootnoteReference"/>
          <w:rFonts w:cstheme="minorHAnsi"/>
          <w:bCs/>
        </w:rPr>
        <w:footnoteReference w:id="2"/>
      </w:r>
      <w:r w:rsidR="0042173D">
        <w:rPr>
          <w:rFonts w:cstheme="minorHAnsi"/>
          <w:bCs/>
        </w:rPr>
        <w:t xml:space="preserve">. </w:t>
      </w:r>
      <w:r w:rsidR="00C75E53">
        <w:rPr>
          <w:rFonts w:cstheme="minorHAnsi"/>
          <w:bCs/>
        </w:rPr>
        <w:t>More commonly, women reported that it is extremely uncomfortable for them to fetch the water outside in the middle of bathing (when they run out of water from the small bucket).</w:t>
      </w:r>
      <w:r w:rsidR="0011300B">
        <w:rPr>
          <w:rFonts w:cstheme="minorHAnsi"/>
          <w:bCs/>
        </w:rPr>
        <w:t xml:space="preserve"> The dimension of the individual cubicles is also commented to be narrow when they take bath with the bucket and hang the clothes at the wall. </w:t>
      </w:r>
      <w:r w:rsidR="00C75E53">
        <w:rPr>
          <w:rFonts w:cstheme="minorHAnsi"/>
          <w:bCs/>
        </w:rPr>
        <w:t xml:space="preserve"> </w:t>
      </w:r>
      <w:r w:rsidR="00774760">
        <w:rPr>
          <w:rFonts w:cstheme="minorHAnsi"/>
          <w:bCs/>
        </w:rPr>
        <w:t xml:space="preserve">Thus, some women find </w:t>
      </w:r>
      <w:r w:rsidR="002949BD">
        <w:rPr>
          <w:rFonts w:cstheme="minorHAnsi"/>
          <w:bCs/>
        </w:rPr>
        <w:t>it</w:t>
      </w:r>
      <w:r w:rsidR="00774760">
        <w:rPr>
          <w:rFonts w:cstheme="minorHAnsi"/>
          <w:bCs/>
        </w:rPr>
        <w:t xml:space="preserve"> hard to use the bathing facilities.</w:t>
      </w:r>
    </w:p>
    <w:p w:rsidR="00774760" w:rsidRDefault="00774760" w:rsidP="00426CDF">
      <w:pPr>
        <w:spacing w:after="0"/>
        <w:ind w:firstLine="360"/>
        <w:jc w:val="both"/>
        <w:rPr>
          <w:rFonts w:cstheme="minorHAnsi"/>
          <w:bCs/>
        </w:rPr>
      </w:pPr>
      <w:r>
        <w:rPr>
          <w:rFonts w:cstheme="minorHAnsi"/>
          <w:bCs/>
        </w:rPr>
        <w:t>In addition, it is commonly reported that elderly women</w:t>
      </w:r>
      <w:r w:rsidR="0011300B">
        <w:rPr>
          <w:rFonts w:cstheme="minorHAnsi"/>
          <w:bCs/>
        </w:rPr>
        <w:t xml:space="preserve"> and disable persons</w:t>
      </w:r>
      <w:r>
        <w:rPr>
          <w:rFonts w:cstheme="minorHAnsi"/>
          <w:bCs/>
        </w:rPr>
        <w:t xml:space="preserve"> find it very difficult to take bath without another person’s help as they cannot carry water container from the water points to the bathing area.</w:t>
      </w:r>
    </w:p>
    <w:p w:rsidR="000308B2" w:rsidRDefault="000308B2" w:rsidP="00426CDF">
      <w:pPr>
        <w:spacing w:after="0"/>
        <w:ind w:firstLine="360"/>
        <w:jc w:val="both"/>
        <w:rPr>
          <w:rFonts w:cstheme="minorHAnsi"/>
          <w:bCs/>
        </w:rPr>
      </w:pPr>
      <w:r>
        <w:rPr>
          <w:rFonts w:cstheme="minorHAnsi"/>
          <w:bCs/>
        </w:rPr>
        <w:t>Based on</w:t>
      </w:r>
      <w:r w:rsidR="00B93687">
        <w:rPr>
          <w:rFonts w:cstheme="minorHAnsi"/>
          <w:bCs/>
        </w:rPr>
        <w:t xml:space="preserve"> the findings related to</w:t>
      </w:r>
      <w:r>
        <w:rPr>
          <w:rFonts w:cstheme="minorHAnsi"/>
          <w:bCs/>
        </w:rPr>
        <w:t xml:space="preserve"> the communal bathing facilities, some WASH agencies started to provide individual bathing facilities integrated to the shelters as a pilot phase.</w:t>
      </w:r>
    </w:p>
    <w:p w:rsidR="00630CA2" w:rsidRDefault="00630CA2" w:rsidP="007C2CF4">
      <w:pPr>
        <w:pStyle w:val="Subtitle"/>
        <w:pBdr>
          <w:bottom w:val="thinThickSmallGap" w:sz="18" w:space="1" w:color="4F81BD" w:themeColor="accent1"/>
        </w:pBdr>
        <w:spacing w:before="240"/>
      </w:pPr>
      <w:r>
        <w:t>Recommendations</w:t>
      </w:r>
    </w:p>
    <w:p w:rsidR="00630CA2" w:rsidRPr="002A4BE9" w:rsidRDefault="002A4BE9" w:rsidP="00426CDF">
      <w:pPr>
        <w:pStyle w:val="ListParagraph"/>
        <w:numPr>
          <w:ilvl w:val="0"/>
          <w:numId w:val="3"/>
        </w:numPr>
        <w:spacing w:after="0"/>
        <w:ind w:left="540"/>
        <w:jc w:val="both"/>
        <w:rPr>
          <w:rFonts w:cstheme="minorHAnsi"/>
          <w:bCs/>
        </w:rPr>
      </w:pPr>
      <w:r w:rsidRPr="002A4BE9">
        <w:rPr>
          <w:rFonts w:cstheme="minorHAnsi"/>
          <w:bCs/>
        </w:rPr>
        <w:t>Selection of the site should be made in consultation with the women and girls.</w:t>
      </w:r>
    </w:p>
    <w:p w:rsidR="00B93D90" w:rsidRPr="00E10B50" w:rsidRDefault="00B93D90" w:rsidP="00630CA2">
      <w:pPr>
        <w:pStyle w:val="ListParagraph"/>
        <w:numPr>
          <w:ilvl w:val="0"/>
          <w:numId w:val="3"/>
        </w:numPr>
        <w:ind w:left="540"/>
        <w:jc w:val="both"/>
        <w:rPr>
          <w:rFonts w:cstheme="minorHAnsi"/>
          <w:bCs/>
        </w:rPr>
      </w:pPr>
      <w:r w:rsidRPr="00B93D90">
        <w:rPr>
          <w:rFonts w:cstheme="minorHAnsi"/>
          <w:bCs/>
        </w:rPr>
        <w:t xml:space="preserve">Adequate drainage system should be included to minimise the stagnant water and mosquitoes </w:t>
      </w:r>
      <w:r w:rsidRPr="00E10B50">
        <w:rPr>
          <w:rFonts w:cstheme="minorHAnsi"/>
          <w:bCs/>
        </w:rPr>
        <w:t xml:space="preserve">breeding area. </w:t>
      </w:r>
    </w:p>
    <w:p w:rsidR="00630CA2" w:rsidRDefault="00E10B50" w:rsidP="00630CA2">
      <w:pPr>
        <w:pStyle w:val="ListParagraph"/>
        <w:numPr>
          <w:ilvl w:val="0"/>
          <w:numId w:val="3"/>
        </w:numPr>
        <w:ind w:left="540"/>
        <w:jc w:val="both"/>
        <w:rPr>
          <w:rFonts w:cstheme="minorHAnsi"/>
          <w:bCs/>
        </w:rPr>
      </w:pPr>
      <w:r w:rsidRPr="00E10B50">
        <w:rPr>
          <w:rFonts w:cstheme="minorHAnsi"/>
          <w:bCs/>
        </w:rPr>
        <w:t>The sensitivity of the communities for the proposed design should be explored before the construction of the bathing facilities. For example, the communities regard the iron bars in the proposed design as a potential weapon and prohibited to be used.</w:t>
      </w:r>
    </w:p>
    <w:p w:rsidR="002949BD" w:rsidRDefault="002949BD" w:rsidP="00630CA2">
      <w:pPr>
        <w:pStyle w:val="ListParagraph"/>
        <w:numPr>
          <w:ilvl w:val="0"/>
          <w:numId w:val="3"/>
        </w:numPr>
        <w:ind w:left="540"/>
        <w:jc w:val="both"/>
        <w:rPr>
          <w:rFonts w:cstheme="minorHAnsi"/>
          <w:bCs/>
        </w:rPr>
      </w:pPr>
      <w:r>
        <w:rPr>
          <w:rFonts w:cstheme="minorHAnsi"/>
          <w:bCs/>
        </w:rPr>
        <w:t xml:space="preserve">One </w:t>
      </w:r>
      <w:r w:rsidR="00C120FF">
        <w:rPr>
          <w:rFonts w:cstheme="minorHAnsi"/>
          <w:bCs/>
        </w:rPr>
        <w:t>water point should be available inside</w:t>
      </w:r>
      <w:r w:rsidR="0042173D">
        <w:rPr>
          <w:rFonts w:cstheme="minorHAnsi"/>
          <w:bCs/>
        </w:rPr>
        <w:t xml:space="preserve"> the bathing facilities</w:t>
      </w:r>
      <w:r w:rsidR="0011300B">
        <w:rPr>
          <w:rFonts w:cstheme="minorHAnsi"/>
          <w:bCs/>
        </w:rPr>
        <w:t xml:space="preserve"> (to avoid fetching water in the middle of the bath).</w:t>
      </w:r>
    </w:p>
    <w:p w:rsidR="0042173D" w:rsidRDefault="0042173D" w:rsidP="00630CA2">
      <w:pPr>
        <w:pStyle w:val="ListParagraph"/>
        <w:numPr>
          <w:ilvl w:val="0"/>
          <w:numId w:val="3"/>
        </w:numPr>
        <w:ind w:left="540"/>
        <w:jc w:val="both"/>
        <w:rPr>
          <w:rFonts w:cstheme="minorHAnsi"/>
          <w:bCs/>
        </w:rPr>
      </w:pPr>
      <w:r>
        <w:rPr>
          <w:rFonts w:cstheme="minorHAnsi"/>
          <w:bCs/>
        </w:rPr>
        <w:t xml:space="preserve">The individual cubicles should be </w:t>
      </w:r>
      <w:r w:rsidR="00C75E53">
        <w:rPr>
          <w:rFonts w:cstheme="minorHAnsi"/>
          <w:bCs/>
        </w:rPr>
        <w:t>larger as the current</w:t>
      </w:r>
      <w:r w:rsidR="00B23D78">
        <w:rPr>
          <w:rFonts w:cstheme="minorHAnsi"/>
          <w:bCs/>
        </w:rPr>
        <w:t xml:space="preserve"> width of</w:t>
      </w:r>
      <w:r w:rsidR="00C75E53">
        <w:rPr>
          <w:rFonts w:cstheme="minorHAnsi"/>
          <w:bCs/>
        </w:rPr>
        <w:t xml:space="preserve"> 3ft cubicle is found to be narrow to take bath inside (with bucket, cloth etc.)</w:t>
      </w:r>
    </w:p>
    <w:p w:rsidR="0011300B" w:rsidRPr="00E10B50" w:rsidRDefault="0011300B" w:rsidP="00A023B2">
      <w:pPr>
        <w:pStyle w:val="ListParagraph"/>
        <w:numPr>
          <w:ilvl w:val="0"/>
          <w:numId w:val="3"/>
        </w:numPr>
        <w:ind w:left="540"/>
        <w:jc w:val="both"/>
        <w:rPr>
          <w:rFonts w:cstheme="minorHAnsi"/>
          <w:bCs/>
        </w:rPr>
      </w:pPr>
      <w:r w:rsidRPr="00A023B2">
        <w:rPr>
          <w:rFonts w:cstheme="minorHAnsi"/>
          <w:bCs/>
        </w:rPr>
        <w:t xml:space="preserve">The </w:t>
      </w:r>
      <w:r w:rsidR="003912C2" w:rsidRPr="00A023B2">
        <w:rPr>
          <w:rFonts w:cstheme="minorHAnsi"/>
          <w:bCs/>
        </w:rPr>
        <w:t xml:space="preserve">review on the </w:t>
      </w:r>
      <w:r w:rsidRPr="00A023B2">
        <w:rPr>
          <w:rFonts w:cstheme="minorHAnsi"/>
          <w:bCs/>
        </w:rPr>
        <w:t>individual</w:t>
      </w:r>
      <w:r w:rsidR="000308B2">
        <w:rPr>
          <w:rFonts w:cstheme="minorHAnsi"/>
          <w:bCs/>
        </w:rPr>
        <w:t xml:space="preserve"> integrated bathing room</w:t>
      </w:r>
      <w:r w:rsidRPr="00A023B2">
        <w:rPr>
          <w:rFonts w:cstheme="minorHAnsi"/>
          <w:bCs/>
        </w:rPr>
        <w:t xml:space="preserve"> versus communal b</w:t>
      </w:r>
      <w:r w:rsidR="004D6B27" w:rsidRPr="00A023B2">
        <w:rPr>
          <w:rFonts w:cstheme="minorHAnsi"/>
          <w:bCs/>
        </w:rPr>
        <w:t>athing facilities</w:t>
      </w:r>
      <w:r w:rsidR="003912C2" w:rsidRPr="00A023B2">
        <w:rPr>
          <w:rFonts w:cstheme="minorHAnsi"/>
          <w:bCs/>
        </w:rPr>
        <w:t xml:space="preserve"> should be undertaken.</w:t>
      </w:r>
      <w:r w:rsidR="000308B2">
        <w:rPr>
          <w:rFonts w:cstheme="minorHAnsi"/>
          <w:bCs/>
        </w:rPr>
        <w:t xml:space="preserve"> (will be reviewed in July 2014)</w:t>
      </w:r>
    </w:p>
    <w:sectPr w:rsidR="0011300B" w:rsidRPr="00E10B50" w:rsidSect="003A7C1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59" w:rsidRDefault="008F7759" w:rsidP="004A6FB1">
      <w:pPr>
        <w:spacing w:after="0" w:line="240" w:lineRule="auto"/>
      </w:pPr>
      <w:r>
        <w:separator/>
      </w:r>
    </w:p>
  </w:endnote>
  <w:endnote w:type="continuationSeparator" w:id="1">
    <w:p w:rsidR="008F7759" w:rsidRDefault="008F7759" w:rsidP="004A6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A" w:rsidRDefault="00F770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B1" w:rsidRPr="0000443B" w:rsidRDefault="004A6FB1" w:rsidP="00F770DA">
    <w:pPr>
      <w:pStyle w:val="Footer"/>
      <w:tabs>
        <w:tab w:val="clear" w:pos="4680"/>
        <w:tab w:val="center" w:pos="4500"/>
      </w:tabs>
      <w:rPr>
        <w:sz w:val="24"/>
        <w:szCs w:val="28"/>
      </w:rPr>
    </w:pPr>
    <w:r>
      <w:tab/>
    </w:r>
    <w:r w:rsidR="00F770DA">
      <w:tab/>
    </w:r>
    <w:r w:rsidR="00F770DA">
      <w:rPr>
        <w:sz w:val="24"/>
        <w:szCs w:val="28"/>
      </w:rPr>
      <w:t>Capitalisation, Kachin &amp;Rakhine  Emergency Response,</w:t>
    </w:r>
    <w:r w:rsidR="00F770DA" w:rsidRPr="0000443B">
      <w:rPr>
        <w:sz w:val="24"/>
        <w:szCs w:val="28"/>
      </w:rPr>
      <w:t xml:space="preserve"> 201</w:t>
    </w:r>
    <w:r w:rsidR="00F770DA">
      <w:rPr>
        <w:sz w:val="24"/>
        <w:szCs w:val="28"/>
      </w:rPr>
      <w:t>3-</w:t>
    </w:r>
    <w:r w:rsidR="00F770DA" w:rsidRPr="0000443B">
      <w:rPr>
        <w:sz w:val="24"/>
        <w:szCs w:val="28"/>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A" w:rsidRDefault="00F77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59" w:rsidRDefault="008F7759" w:rsidP="004A6FB1">
      <w:pPr>
        <w:spacing w:after="0" w:line="240" w:lineRule="auto"/>
      </w:pPr>
      <w:r>
        <w:separator/>
      </w:r>
    </w:p>
  </w:footnote>
  <w:footnote w:type="continuationSeparator" w:id="1">
    <w:p w:rsidR="008F7759" w:rsidRDefault="008F7759" w:rsidP="004A6FB1">
      <w:pPr>
        <w:spacing w:after="0" w:line="240" w:lineRule="auto"/>
      </w:pPr>
      <w:r>
        <w:continuationSeparator/>
      </w:r>
    </w:p>
  </w:footnote>
  <w:footnote w:id="2">
    <w:p w:rsidR="004D6B27" w:rsidRDefault="004D6B27" w:rsidP="004D6B27">
      <w:pPr>
        <w:pStyle w:val="FootnoteText"/>
      </w:pPr>
      <w:r>
        <w:rPr>
          <w:rStyle w:val="FootnoteReference"/>
        </w:rPr>
        <w:footnoteRef/>
      </w:r>
      <w:r>
        <w:t xml:space="preserve"> Report on Gender Analysis on WASH emergency response in Rakhine, by Simona Seliškar in October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A" w:rsidRDefault="00F770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B1" w:rsidRDefault="004A6FB1">
    <w:pPr>
      <w:pStyle w:val="Header"/>
    </w:pPr>
    <w:r>
      <w:rPr>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A" w:rsidRDefault="00F77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B3"/>
    <w:multiLevelType w:val="hybridMultilevel"/>
    <w:tmpl w:val="10B2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47414D"/>
    <w:multiLevelType w:val="hybridMultilevel"/>
    <w:tmpl w:val="9C1AFCB8"/>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0418">
      <o:colormenu v:ext="edit" strokecolor="none [1940]"/>
    </o:shapedefaults>
  </w:hdrShapeDefaults>
  <w:footnotePr>
    <w:footnote w:id="0"/>
    <w:footnote w:id="1"/>
  </w:footnotePr>
  <w:endnotePr>
    <w:endnote w:id="0"/>
    <w:endnote w:id="1"/>
  </w:endnotePr>
  <w:compat/>
  <w:rsids>
    <w:rsidRoot w:val="004A6FB1"/>
    <w:rsid w:val="000028ED"/>
    <w:rsid w:val="0000443B"/>
    <w:rsid w:val="000308B2"/>
    <w:rsid w:val="000466E6"/>
    <w:rsid w:val="001057FA"/>
    <w:rsid w:val="001128E6"/>
    <w:rsid w:val="0011300B"/>
    <w:rsid w:val="0015045B"/>
    <w:rsid w:val="00175BB1"/>
    <w:rsid w:val="00182555"/>
    <w:rsid w:val="00184985"/>
    <w:rsid w:val="001C5AEA"/>
    <w:rsid w:val="001E357E"/>
    <w:rsid w:val="001E60CB"/>
    <w:rsid w:val="00237D01"/>
    <w:rsid w:val="00255DC5"/>
    <w:rsid w:val="00262778"/>
    <w:rsid w:val="00267F19"/>
    <w:rsid w:val="00282955"/>
    <w:rsid w:val="002949BD"/>
    <w:rsid w:val="00297C7B"/>
    <w:rsid w:val="002A4BE9"/>
    <w:rsid w:val="002C35D4"/>
    <w:rsid w:val="002C385E"/>
    <w:rsid w:val="002D0DA2"/>
    <w:rsid w:val="0030064A"/>
    <w:rsid w:val="00302593"/>
    <w:rsid w:val="00306653"/>
    <w:rsid w:val="00382B20"/>
    <w:rsid w:val="003851AF"/>
    <w:rsid w:val="003912C2"/>
    <w:rsid w:val="003A7C1B"/>
    <w:rsid w:val="003B648C"/>
    <w:rsid w:val="003E1B31"/>
    <w:rsid w:val="003E405A"/>
    <w:rsid w:val="00413CC4"/>
    <w:rsid w:val="0042173D"/>
    <w:rsid w:val="00426CDF"/>
    <w:rsid w:val="0045796E"/>
    <w:rsid w:val="00480D55"/>
    <w:rsid w:val="00486BD8"/>
    <w:rsid w:val="004A6FB1"/>
    <w:rsid w:val="004B0671"/>
    <w:rsid w:val="004D6B27"/>
    <w:rsid w:val="004E240A"/>
    <w:rsid w:val="00510AF5"/>
    <w:rsid w:val="00533BBA"/>
    <w:rsid w:val="005529DE"/>
    <w:rsid w:val="00584B81"/>
    <w:rsid w:val="005865A0"/>
    <w:rsid w:val="00587E78"/>
    <w:rsid w:val="00596BA8"/>
    <w:rsid w:val="005A3022"/>
    <w:rsid w:val="005B5FD8"/>
    <w:rsid w:val="005E7E14"/>
    <w:rsid w:val="005F61C8"/>
    <w:rsid w:val="00620A63"/>
    <w:rsid w:val="00630CA2"/>
    <w:rsid w:val="00672D6B"/>
    <w:rsid w:val="00685C7B"/>
    <w:rsid w:val="006C6742"/>
    <w:rsid w:val="006F495D"/>
    <w:rsid w:val="00707044"/>
    <w:rsid w:val="00720ABE"/>
    <w:rsid w:val="00742EDE"/>
    <w:rsid w:val="00750B49"/>
    <w:rsid w:val="007549A5"/>
    <w:rsid w:val="00767DA3"/>
    <w:rsid w:val="00774760"/>
    <w:rsid w:val="00777735"/>
    <w:rsid w:val="00785FF8"/>
    <w:rsid w:val="00793402"/>
    <w:rsid w:val="00795288"/>
    <w:rsid w:val="007A7A17"/>
    <w:rsid w:val="007B159F"/>
    <w:rsid w:val="007C0DFF"/>
    <w:rsid w:val="007C2CF4"/>
    <w:rsid w:val="007C326F"/>
    <w:rsid w:val="007F6E9C"/>
    <w:rsid w:val="008510ED"/>
    <w:rsid w:val="008758CA"/>
    <w:rsid w:val="00882A76"/>
    <w:rsid w:val="008C5E35"/>
    <w:rsid w:val="008D5066"/>
    <w:rsid w:val="008E2956"/>
    <w:rsid w:val="008F7759"/>
    <w:rsid w:val="008F7C19"/>
    <w:rsid w:val="00904B6B"/>
    <w:rsid w:val="0091572E"/>
    <w:rsid w:val="00967A37"/>
    <w:rsid w:val="00996B55"/>
    <w:rsid w:val="009B53F1"/>
    <w:rsid w:val="009C5814"/>
    <w:rsid w:val="009E54D3"/>
    <w:rsid w:val="009F2798"/>
    <w:rsid w:val="00A023B2"/>
    <w:rsid w:val="00A045BD"/>
    <w:rsid w:val="00A7669D"/>
    <w:rsid w:val="00A82C72"/>
    <w:rsid w:val="00A86681"/>
    <w:rsid w:val="00AB19B1"/>
    <w:rsid w:val="00AD604D"/>
    <w:rsid w:val="00AE107B"/>
    <w:rsid w:val="00AF34C0"/>
    <w:rsid w:val="00B15B73"/>
    <w:rsid w:val="00B23D78"/>
    <w:rsid w:val="00B77851"/>
    <w:rsid w:val="00B93687"/>
    <w:rsid w:val="00B93D90"/>
    <w:rsid w:val="00B95966"/>
    <w:rsid w:val="00BB1EA0"/>
    <w:rsid w:val="00BB64A3"/>
    <w:rsid w:val="00BE517D"/>
    <w:rsid w:val="00C104B8"/>
    <w:rsid w:val="00C120FF"/>
    <w:rsid w:val="00C23499"/>
    <w:rsid w:val="00C27288"/>
    <w:rsid w:val="00C5745B"/>
    <w:rsid w:val="00C635CD"/>
    <w:rsid w:val="00C73420"/>
    <w:rsid w:val="00C75E53"/>
    <w:rsid w:val="00CA7D06"/>
    <w:rsid w:val="00CC1A0C"/>
    <w:rsid w:val="00CD0F52"/>
    <w:rsid w:val="00CD234C"/>
    <w:rsid w:val="00D03DF4"/>
    <w:rsid w:val="00D404F8"/>
    <w:rsid w:val="00D5627F"/>
    <w:rsid w:val="00D73216"/>
    <w:rsid w:val="00D75301"/>
    <w:rsid w:val="00D75CAC"/>
    <w:rsid w:val="00D76D39"/>
    <w:rsid w:val="00D813CD"/>
    <w:rsid w:val="00DA19A2"/>
    <w:rsid w:val="00DB1858"/>
    <w:rsid w:val="00DE6CE5"/>
    <w:rsid w:val="00DF0612"/>
    <w:rsid w:val="00E10402"/>
    <w:rsid w:val="00E10B50"/>
    <w:rsid w:val="00E21A2A"/>
    <w:rsid w:val="00E24E7A"/>
    <w:rsid w:val="00E34C68"/>
    <w:rsid w:val="00E74DDA"/>
    <w:rsid w:val="00EA2160"/>
    <w:rsid w:val="00EA5882"/>
    <w:rsid w:val="00EB4982"/>
    <w:rsid w:val="00ED1821"/>
    <w:rsid w:val="00F0630D"/>
    <w:rsid w:val="00F0731D"/>
    <w:rsid w:val="00F174B9"/>
    <w:rsid w:val="00F20958"/>
    <w:rsid w:val="00F35C14"/>
    <w:rsid w:val="00F374D1"/>
    <w:rsid w:val="00F42CD1"/>
    <w:rsid w:val="00F770DA"/>
    <w:rsid w:val="00F825DE"/>
    <w:rsid w:val="00FB2FBC"/>
    <w:rsid w:val="00FC1372"/>
    <w:rsid w:val="00FC3156"/>
    <w:rsid w:val="00FD60DD"/>
    <w:rsid w:val="00FF7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styleId="LightShading-Accent1">
    <w:name w:val="Light Shading Accent 1"/>
    <w:basedOn w:val="TableNormal"/>
    <w:uiPriority w:val="60"/>
    <w:rsid w:val="002C35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C35D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s>
</file>

<file path=word/webSettings.xml><?xml version="1.0" encoding="utf-8"?>
<w:webSettings xmlns:r="http://schemas.openxmlformats.org/officeDocument/2006/relationships" xmlns:w="http://schemas.openxmlformats.org/wordprocessingml/2006/main">
  <w:divs>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 w:id="11778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552A-B957-4B69-847A-97D66E7F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acer</cp:lastModifiedBy>
  <cp:revision>117</cp:revision>
  <dcterms:created xsi:type="dcterms:W3CDTF">2013-12-10T08:31:00Z</dcterms:created>
  <dcterms:modified xsi:type="dcterms:W3CDTF">2014-06-19T16:36:00Z</dcterms:modified>
</cp:coreProperties>
</file>