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EE" w:rsidRPr="001E1F12" w:rsidRDefault="009B2E31" w:rsidP="00D22E33">
      <w:pPr>
        <w:pBdr>
          <w:top w:val="single" w:sz="4" w:space="1" w:color="auto"/>
          <w:left w:val="single" w:sz="4" w:space="4" w:color="auto"/>
          <w:bottom w:val="single" w:sz="4" w:space="1" w:color="auto"/>
          <w:right w:val="single" w:sz="4" w:space="4" w:color="auto"/>
        </w:pBdr>
        <w:shd w:val="pct10" w:color="auto" w:fill="auto"/>
        <w:spacing w:after="0" w:line="240" w:lineRule="auto"/>
        <w:jc w:val="center"/>
        <w:rPr>
          <w:rFonts w:ascii="Arial" w:hAnsi="Arial" w:cs="Arial"/>
          <w:b/>
          <w:sz w:val="20"/>
          <w:szCs w:val="20"/>
        </w:rPr>
      </w:pPr>
      <w:r w:rsidRPr="001E1F12">
        <w:rPr>
          <w:rFonts w:ascii="Arial" w:hAnsi="Arial" w:cs="Arial"/>
          <w:b/>
          <w:sz w:val="20"/>
          <w:szCs w:val="20"/>
        </w:rPr>
        <w:t>SECTORAL GUIDANCE ON MAINSTREAMING DRR IN FLOOD RECOVERY</w:t>
      </w:r>
    </w:p>
    <w:p w:rsidR="0076406B" w:rsidRPr="0076406B" w:rsidRDefault="0076406B" w:rsidP="0076406B">
      <w:pPr>
        <w:autoSpaceDE w:val="0"/>
        <w:autoSpaceDN w:val="0"/>
        <w:adjustRightInd w:val="0"/>
        <w:spacing w:after="0" w:line="240" w:lineRule="auto"/>
        <w:rPr>
          <w:rFonts w:ascii="Univers" w:hAnsi="Univers" w:cs="Univers"/>
          <w:color w:val="000000"/>
          <w:sz w:val="24"/>
          <w:szCs w:val="24"/>
          <w:lang w:val="en-US"/>
        </w:rPr>
      </w:pPr>
    </w:p>
    <w:p w:rsidR="00D22E33" w:rsidRDefault="0076406B" w:rsidP="0076406B">
      <w:pPr>
        <w:spacing w:after="0" w:line="240" w:lineRule="auto"/>
        <w:jc w:val="both"/>
        <w:rPr>
          <w:rFonts w:ascii="Arial" w:hAnsi="Arial" w:cs="Arial"/>
          <w:color w:val="000000"/>
          <w:sz w:val="20"/>
          <w:szCs w:val="20"/>
          <w:lang w:val="en-US"/>
        </w:rPr>
      </w:pPr>
      <w:r w:rsidRPr="0076406B">
        <w:rPr>
          <w:rFonts w:ascii="Arial" w:hAnsi="Arial" w:cs="Arial"/>
          <w:color w:val="000000"/>
          <w:sz w:val="20"/>
          <w:szCs w:val="20"/>
          <w:lang w:val="en-US"/>
        </w:rPr>
        <w:t xml:space="preserve">At least 1.6 million people, including 550,000 children, have been displaced by flooding and landslides across Myanmar over the course of July and August. Many communities remain unreachable as a result of obstructed or collapsed roads and bridges. School and health, water and sanitation facilities continue </w:t>
      </w:r>
      <w:bookmarkStart w:id="0" w:name="_GoBack"/>
      <w:bookmarkEnd w:id="0"/>
      <w:r w:rsidRPr="0076406B">
        <w:rPr>
          <w:rFonts w:ascii="Arial" w:hAnsi="Arial" w:cs="Arial"/>
          <w:color w:val="000000"/>
          <w:sz w:val="20"/>
          <w:szCs w:val="20"/>
          <w:lang w:val="en-US"/>
        </w:rPr>
        <w:t xml:space="preserve">to need to be rebuilt and rehabilitated to re-establish access to basic services. Flash floods have again affected areas in Chin, </w:t>
      </w:r>
      <w:proofErr w:type="spellStart"/>
      <w:r w:rsidRPr="0076406B">
        <w:rPr>
          <w:rFonts w:ascii="Arial" w:hAnsi="Arial" w:cs="Arial"/>
          <w:color w:val="000000"/>
          <w:sz w:val="20"/>
          <w:szCs w:val="20"/>
          <w:lang w:val="en-US"/>
        </w:rPr>
        <w:t>Sagaing</w:t>
      </w:r>
      <w:proofErr w:type="spellEnd"/>
      <w:r w:rsidRPr="0076406B">
        <w:rPr>
          <w:rFonts w:ascii="Arial" w:hAnsi="Arial" w:cs="Arial"/>
          <w:color w:val="000000"/>
          <w:sz w:val="20"/>
          <w:szCs w:val="20"/>
          <w:lang w:val="en-US"/>
        </w:rPr>
        <w:t xml:space="preserve">, and </w:t>
      </w:r>
      <w:proofErr w:type="spellStart"/>
      <w:r w:rsidRPr="0076406B">
        <w:rPr>
          <w:rFonts w:ascii="Arial" w:hAnsi="Arial" w:cs="Arial"/>
          <w:color w:val="000000"/>
          <w:sz w:val="20"/>
          <w:szCs w:val="20"/>
          <w:lang w:val="en-US"/>
        </w:rPr>
        <w:t>Kachin</w:t>
      </w:r>
      <w:proofErr w:type="spellEnd"/>
      <w:r w:rsidRPr="0076406B">
        <w:rPr>
          <w:rFonts w:ascii="Arial" w:hAnsi="Arial" w:cs="Arial"/>
          <w:color w:val="000000"/>
          <w:sz w:val="20"/>
          <w:szCs w:val="20"/>
          <w:lang w:val="en-US"/>
        </w:rPr>
        <w:t>, with risks to vulnerable communities continuing until the monsoon season ends in mid-October, compounded by the cyclone season with highest probability of storms in October. The ongoing Government-led Damage and Needs assessment will likely increase the number of people who have been affected by the floods through the incorporation of direct and indirect impacts on livelihoods and markets.</w:t>
      </w:r>
      <w:r w:rsidR="00D22E33">
        <w:rPr>
          <w:rFonts w:ascii="Arial" w:hAnsi="Arial" w:cs="Arial"/>
          <w:color w:val="000000"/>
          <w:sz w:val="20"/>
          <w:szCs w:val="20"/>
          <w:lang w:val="en-US"/>
        </w:rPr>
        <w:t xml:space="preserve"> </w:t>
      </w:r>
    </w:p>
    <w:p w:rsidR="00D22E33" w:rsidRDefault="00D22E33" w:rsidP="0076406B">
      <w:pPr>
        <w:spacing w:after="0" w:line="240" w:lineRule="auto"/>
        <w:jc w:val="both"/>
        <w:rPr>
          <w:rFonts w:ascii="Arial" w:hAnsi="Arial" w:cs="Arial"/>
          <w:color w:val="000000"/>
          <w:sz w:val="20"/>
          <w:szCs w:val="20"/>
          <w:lang w:val="en-US"/>
        </w:rPr>
      </w:pPr>
    </w:p>
    <w:p w:rsidR="0076406B" w:rsidRPr="0076406B" w:rsidRDefault="00D22E33" w:rsidP="0076406B">
      <w:pPr>
        <w:spacing w:after="0" w:line="240" w:lineRule="auto"/>
        <w:jc w:val="both"/>
        <w:rPr>
          <w:rFonts w:ascii="Arial" w:hAnsi="Arial" w:cs="Arial"/>
          <w:sz w:val="20"/>
          <w:szCs w:val="20"/>
        </w:rPr>
      </w:pPr>
      <w:r>
        <w:rPr>
          <w:rFonts w:ascii="Arial" w:hAnsi="Arial" w:cs="Arial"/>
          <w:color w:val="000000"/>
          <w:sz w:val="20"/>
          <w:szCs w:val="20"/>
          <w:lang w:val="en-US"/>
        </w:rPr>
        <w:t>Disaster risk reduction is a core component of recovery planning</w:t>
      </w:r>
      <w:r w:rsidR="004918CF">
        <w:rPr>
          <w:rFonts w:ascii="Arial" w:hAnsi="Arial" w:cs="Arial"/>
          <w:color w:val="000000"/>
          <w:sz w:val="20"/>
          <w:szCs w:val="20"/>
          <w:lang w:val="en-US"/>
        </w:rPr>
        <w:t xml:space="preserve">. The need to avoid rebuilding the vulnerabilities that led to the disaster in the first place is at the heart of the concept of “building back better”. These short guidelines were put together by the DRR WG to support sectors and clusters in their effort to mainstream DRR in ongoing flood response and recovery processes. They provide a summary of recognized literature with a focus on practical examples that relate specifically to the recovery phase and to floods and landslides. Full references are provided under each technical chapter for additional information.  </w:t>
      </w:r>
    </w:p>
    <w:p w:rsidR="005B6E25" w:rsidRDefault="00592A13" w:rsidP="00345156">
      <w:pPr>
        <w:spacing w:after="0" w:line="240" w:lineRule="auto"/>
        <w:jc w:val="both"/>
        <w:rPr>
          <w:rFonts w:ascii="Arial" w:hAnsi="Arial" w:cs="Arial"/>
          <w:sz w:val="20"/>
          <w:szCs w:val="20"/>
        </w:rPr>
      </w:pPr>
      <w:r w:rsidRPr="006626DA">
        <w:rPr>
          <w:rFonts w:ascii="Arial" w:hAnsi="Arial" w:cs="Arial"/>
          <w:noProof/>
          <w:sz w:val="20"/>
          <w:szCs w:val="20"/>
          <w:lang w:val="en-US"/>
        </w:rPr>
        <mc:AlternateContent>
          <mc:Choice Requires="wpg">
            <w:drawing>
              <wp:anchor distT="0" distB="0" distL="114300" distR="114300" simplePos="0" relativeHeight="251662336" behindDoc="0" locked="0" layoutInCell="1" allowOverlap="1" wp14:anchorId="7DE031D8" wp14:editId="1CE536FD">
                <wp:simplePos x="0" y="0"/>
                <wp:positionH relativeFrom="column">
                  <wp:posOffset>-191770</wp:posOffset>
                </wp:positionH>
                <wp:positionV relativeFrom="paragraph">
                  <wp:posOffset>203835</wp:posOffset>
                </wp:positionV>
                <wp:extent cx="6092726" cy="3902904"/>
                <wp:effectExtent l="0" t="0" r="3810" b="2540"/>
                <wp:wrapTopAndBottom/>
                <wp:docPr id="198" name="Group 198"/>
                <wp:cNvGraphicFramePr/>
                <a:graphic xmlns:a="http://schemas.openxmlformats.org/drawingml/2006/main">
                  <a:graphicData uri="http://schemas.microsoft.com/office/word/2010/wordprocessingGroup">
                    <wpg:wgp>
                      <wpg:cNvGrpSpPr/>
                      <wpg:grpSpPr>
                        <a:xfrm>
                          <a:off x="0" y="0"/>
                          <a:ext cx="6092726" cy="3902904"/>
                          <a:chOff x="-5173" y="-1503143"/>
                          <a:chExt cx="3585039" cy="3903054"/>
                        </a:xfrm>
                      </wpg:grpSpPr>
                      <wps:wsp>
                        <wps:cNvPr id="199" name="Rectangle 199"/>
                        <wps:cNvSpPr/>
                        <wps:spPr>
                          <a:xfrm>
                            <a:off x="12418" y="-1503143"/>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6DA" w:rsidRPr="00855517" w:rsidRDefault="006626DA" w:rsidP="006626DA">
                              <w:pPr>
                                <w:spacing w:after="0" w:line="240" w:lineRule="auto"/>
                                <w:jc w:val="both"/>
                                <w:rPr>
                                  <w:rFonts w:ascii="Arial" w:hAnsi="Arial" w:cs="Arial"/>
                                  <w:b/>
                                  <w:sz w:val="20"/>
                                  <w:szCs w:val="20"/>
                                </w:rPr>
                              </w:pPr>
                              <w:r w:rsidRPr="00855517">
                                <w:rPr>
                                  <w:rFonts w:ascii="Arial" w:hAnsi="Arial" w:cs="Arial"/>
                                  <w:b/>
                                  <w:sz w:val="20"/>
                                  <w:szCs w:val="20"/>
                                </w:rPr>
                                <w:t>Key DRR terminology</w:t>
                              </w:r>
                              <w:r w:rsidRPr="00855517">
                                <w:rPr>
                                  <w:rStyle w:val="FootnoteReference"/>
                                  <w:rFonts w:ascii="Arial" w:hAnsi="Arial" w:cs="Arial"/>
                                  <w:b/>
                                  <w:sz w:val="20"/>
                                  <w:szCs w:val="20"/>
                                </w:rPr>
                                <w:footnoteRef/>
                              </w:r>
                            </w:p>
                            <w:p w:rsidR="006626DA" w:rsidRDefault="006626D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5173" y="-1257004"/>
                            <a:ext cx="3567448" cy="365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Disaster risk reduction</w:t>
                              </w:r>
                            </w:p>
                            <w:p w:rsidR="006626DA"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 </w:t>
                              </w:r>
                            </w:p>
                            <w:p w:rsidR="006626DA" w:rsidRDefault="006626DA" w:rsidP="006626DA">
                              <w:pPr>
                                <w:spacing w:after="0" w:line="240" w:lineRule="auto"/>
                                <w:jc w:val="both"/>
                                <w:rPr>
                                  <w:rFonts w:ascii="Arial" w:hAnsi="Arial" w:cs="Arial"/>
                                  <w:sz w:val="20"/>
                                  <w:szCs w:val="20"/>
                                </w:rPr>
                              </w:pPr>
                            </w:p>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Prevention</w:t>
                              </w:r>
                            </w:p>
                            <w:p w:rsidR="006626DA" w:rsidRPr="00893B59"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outright avoidance of adverse impacts of hazards and related disasters through action taken in advance. Examples include dams or embankments that eliminate flood risks, land-use regulations that do not permit any settlement in high risk zones, and seismic engineering designs that ensure the survival and function of a critical building in any likely earthquake. </w:t>
                              </w:r>
                            </w:p>
                            <w:p w:rsidR="006626DA" w:rsidRDefault="006626DA" w:rsidP="006626DA">
                              <w:pPr>
                                <w:spacing w:after="0" w:line="240" w:lineRule="auto"/>
                                <w:jc w:val="both"/>
                                <w:rPr>
                                  <w:rFonts w:ascii="Arial" w:hAnsi="Arial" w:cs="Arial"/>
                                  <w:sz w:val="20"/>
                                  <w:szCs w:val="20"/>
                                </w:rPr>
                              </w:pPr>
                            </w:p>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Mitigation</w:t>
                              </w:r>
                            </w:p>
                            <w:p w:rsidR="006626DA"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lessening or limitation of the adverse impacts of hazards and related disasters. </w:t>
                              </w:r>
                              <w:r>
                                <w:rPr>
                                  <w:rFonts w:ascii="Arial" w:hAnsi="Arial" w:cs="Arial"/>
                                  <w:color w:val="000000"/>
                                  <w:sz w:val="20"/>
                                  <w:szCs w:val="20"/>
                                </w:rPr>
                                <w:br/>
                                <w:t>The adverse impacts of hazards often cannot be prevented fully, but their scale or severity can be substantially lessened by various strategies and actions. Mitigation measures encompass engineering techniques and hazard-resistant construction as well as improved environmental policies and public awareness</w:t>
                              </w:r>
                              <w:r>
                                <w:rPr>
                                  <w:rStyle w:val="FootnoteReference"/>
                                  <w:rFonts w:ascii="Arial" w:hAnsi="Arial" w:cs="Arial"/>
                                  <w:color w:val="000000"/>
                                  <w:sz w:val="20"/>
                                  <w:szCs w:val="20"/>
                                </w:rPr>
                                <w:footnoteRef/>
                              </w:r>
                              <w:r>
                                <w:rPr>
                                  <w:rFonts w:ascii="Arial" w:hAnsi="Arial" w:cs="Arial"/>
                                  <w:color w:val="000000"/>
                                  <w:sz w:val="20"/>
                                  <w:szCs w:val="20"/>
                                </w:rPr>
                                <w:t xml:space="preserve">. </w:t>
                              </w:r>
                            </w:p>
                            <w:p w:rsidR="006626DA" w:rsidRPr="00345156" w:rsidRDefault="006626DA" w:rsidP="006626DA">
                              <w:pPr>
                                <w:spacing w:after="0" w:line="240" w:lineRule="auto"/>
                                <w:jc w:val="both"/>
                                <w:rPr>
                                  <w:rFonts w:ascii="Arial" w:hAnsi="Arial" w:cs="Arial"/>
                                  <w:sz w:val="20"/>
                                  <w:szCs w:val="20"/>
                                </w:rPr>
                              </w:pPr>
                            </w:p>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Preparedness</w:t>
                              </w:r>
                            </w:p>
                            <w:p w:rsidR="006626DA"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knowledge and capacities developed by governments, professional response and recovery organizations, communities and individuals to effectively anticipate, respond to, and recover from, the impacts of likely, imminent or current hazard events or conditions. </w:t>
                              </w:r>
                            </w:p>
                            <w:p w:rsidR="006626DA" w:rsidRDefault="006626DA">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031D8" id="Group 198" o:spid="_x0000_s1026" style="position:absolute;left:0;text-align:left;margin-left:-15.1pt;margin-top:16.05pt;width:479.75pt;height:307.3pt;z-index:251662336;mso-width-relative:margin;mso-height-relative:margin" coordorigin="-51,-15031" coordsize="35850,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">
                <v:rect id="Rectangle 199" o:spid="_x0000_s1027" style="position:absolute;left:124;top:-15031;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4f81bd [3204]" stroked="f" strokeweight="2pt">
                  <v:textbox>
                    <w:txbxContent>
                      <w:p w:rsidR="006626DA" w:rsidRPr="00855517" w:rsidRDefault="006626DA" w:rsidP="006626DA">
                        <w:pPr>
                          <w:spacing w:after="0" w:line="240" w:lineRule="auto"/>
                          <w:jc w:val="both"/>
                          <w:rPr>
                            <w:rFonts w:ascii="Arial" w:hAnsi="Arial" w:cs="Arial"/>
                            <w:b/>
                            <w:sz w:val="20"/>
                            <w:szCs w:val="20"/>
                          </w:rPr>
                        </w:pPr>
                        <w:r w:rsidRPr="00855517">
                          <w:rPr>
                            <w:rFonts w:ascii="Arial" w:hAnsi="Arial" w:cs="Arial"/>
                            <w:b/>
                            <w:sz w:val="20"/>
                            <w:szCs w:val="20"/>
                          </w:rPr>
                          <w:t>Key DRR terminology</w:t>
                        </w:r>
                        <w:r w:rsidRPr="00855517">
                          <w:rPr>
                            <w:rStyle w:val="FootnoteReference"/>
                            <w:rFonts w:ascii="Arial" w:hAnsi="Arial" w:cs="Arial"/>
                            <w:b/>
                            <w:sz w:val="20"/>
                            <w:szCs w:val="20"/>
                          </w:rPr>
                          <w:footnoteRef/>
                        </w:r>
                      </w:p>
                      <w:p w:rsidR="006626DA" w:rsidRDefault="006626DA">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51;top:-12570;width:35673;height:36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Disaster risk reduction</w:t>
                        </w:r>
                      </w:p>
                      <w:p w:rsidR="006626DA"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 </w:t>
                        </w:r>
                      </w:p>
                      <w:p w:rsidR="006626DA" w:rsidRDefault="006626DA" w:rsidP="006626DA">
                        <w:pPr>
                          <w:spacing w:after="0" w:line="240" w:lineRule="auto"/>
                          <w:jc w:val="both"/>
                          <w:rPr>
                            <w:rFonts w:ascii="Arial" w:hAnsi="Arial" w:cs="Arial"/>
                            <w:sz w:val="20"/>
                            <w:szCs w:val="20"/>
                          </w:rPr>
                        </w:pPr>
                      </w:p>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Prevention</w:t>
                        </w:r>
                      </w:p>
                      <w:p w:rsidR="006626DA" w:rsidRPr="00893B59"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outright avoidance of adverse impacts of hazards and related disasters through action taken in advance. Examples include dams or embankments that eliminate flood risks, land-use regulations that do not permit any settlement in high risk zones, and seismic engineering designs that ensure the survival and function of a critical building in any likely earthquake. </w:t>
                        </w:r>
                      </w:p>
                      <w:p w:rsidR="006626DA" w:rsidRDefault="006626DA" w:rsidP="006626DA">
                        <w:pPr>
                          <w:spacing w:after="0" w:line="240" w:lineRule="auto"/>
                          <w:jc w:val="both"/>
                          <w:rPr>
                            <w:rFonts w:ascii="Arial" w:hAnsi="Arial" w:cs="Arial"/>
                            <w:sz w:val="20"/>
                            <w:szCs w:val="20"/>
                          </w:rPr>
                        </w:pPr>
                      </w:p>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Mitigation</w:t>
                        </w:r>
                      </w:p>
                      <w:p w:rsidR="006626DA"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lessening or limitation of the adverse impacts of hazards and related disasters. </w:t>
                        </w:r>
                        <w:r>
                          <w:rPr>
                            <w:rFonts w:ascii="Arial" w:hAnsi="Arial" w:cs="Arial"/>
                            <w:color w:val="000000"/>
                            <w:sz w:val="20"/>
                            <w:szCs w:val="20"/>
                          </w:rPr>
                          <w:br/>
                          <w:t>The adverse impacts of hazards often cannot be prevented fully, but their scale or severity can be substantially lessened by various strategies and actions. Mitigation measures encompass engineering techniques and hazard-resistant construction as well as improved environmental policies and public awareness</w:t>
                        </w:r>
                        <w:r>
                          <w:rPr>
                            <w:rStyle w:val="FootnoteReference"/>
                            <w:rFonts w:ascii="Arial" w:hAnsi="Arial" w:cs="Arial"/>
                            <w:color w:val="000000"/>
                            <w:sz w:val="20"/>
                            <w:szCs w:val="20"/>
                          </w:rPr>
                          <w:footnoteRef/>
                        </w:r>
                        <w:r>
                          <w:rPr>
                            <w:rFonts w:ascii="Arial" w:hAnsi="Arial" w:cs="Arial"/>
                            <w:color w:val="000000"/>
                            <w:sz w:val="20"/>
                            <w:szCs w:val="20"/>
                          </w:rPr>
                          <w:t xml:space="preserve">. </w:t>
                        </w:r>
                      </w:p>
                      <w:p w:rsidR="006626DA" w:rsidRPr="00345156" w:rsidRDefault="006626DA" w:rsidP="006626DA">
                        <w:pPr>
                          <w:spacing w:after="0" w:line="240" w:lineRule="auto"/>
                          <w:jc w:val="both"/>
                          <w:rPr>
                            <w:rFonts w:ascii="Arial" w:hAnsi="Arial" w:cs="Arial"/>
                            <w:sz w:val="20"/>
                            <w:szCs w:val="20"/>
                          </w:rPr>
                        </w:pPr>
                      </w:p>
                      <w:p w:rsidR="006626DA" w:rsidRPr="00914CC2" w:rsidRDefault="006626DA" w:rsidP="006626DA">
                        <w:pPr>
                          <w:spacing w:after="0" w:line="240" w:lineRule="auto"/>
                          <w:jc w:val="both"/>
                          <w:rPr>
                            <w:rFonts w:ascii="Arial" w:hAnsi="Arial" w:cs="Arial"/>
                            <w:b/>
                            <w:sz w:val="20"/>
                            <w:szCs w:val="20"/>
                          </w:rPr>
                        </w:pPr>
                        <w:r w:rsidRPr="00914CC2">
                          <w:rPr>
                            <w:rFonts w:ascii="Arial" w:hAnsi="Arial" w:cs="Arial"/>
                            <w:b/>
                            <w:sz w:val="20"/>
                            <w:szCs w:val="20"/>
                          </w:rPr>
                          <w:t>Preparedness</w:t>
                        </w:r>
                      </w:p>
                      <w:p w:rsidR="006626DA" w:rsidRDefault="006626DA" w:rsidP="006626DA">
                        <w:pPr>
                          <w:spacing w:after="0" w:line="240" w:lineRule="auto"/>
                          <w:jc w:val="both"/>
                          <w:rPr>
                            <w:rFonts w:ascii="Arial" w:hAnsi="Arial" w:cs="Arial"/>
                            <w:color w:val="000000"/>
                            <w:sz w:val="20"/>
                            <w:szCs w:val="20"/>
                          </w:rPr>
                        </w:pPr>
                        <w:r>
                          <w:rPr>
                            <w:rFonts w:ascii="Arial" w:hAnsi="Arial" w:cs="Arial"/>
                            <w:color w:val="000000"/>
                            <w:sz w:val="20"/>
                            <w:szCs w:val="20"/>
                          </w:rPr>
                          <w:t xml:space="preserve">The knowledge and capacities developed by governments, professional response and recovery organizations, communities and individuals to effectively anticipate, respond to, and recover from, the impacts of likely, imminent or current hazard events or conditions. </w:t>
                        </w:r>
                      </w:p>
                      <w:p w:rsidR="006626DA" w:rsidRDefault="006626DA">
                        <w:pPr>
                          <w:rPr>
                            <w:caps/>
                            <w:color w:val="4F81BD" w:themeColor="accent1"/>
                            <w:sz w:val="26"/>
                            <w:szCs w:val="26"/>
                          </w:rPr>
                        </w:pPr>
                      </w:p>
                    </w:txbxContent>
                  </v:textbox>
                </v:shape>
                <w10:wrap type="topAndBottom"/>
              </v:group>
            </w:pict>
          </mc:Fallback>
        </mc:AlternateContent>
      </w:r>
    </w:p>
    <w:p w:rsidR="00F86C03" w:rsidRPr="00914CC2" w:rsidRDefault="00F86C03" w:rsidP="006626DA">
      <w:pPr>
        <w:pBdr>
          <w:bottom w:val="single" w:sz="4" w:space="1" w:color="auto"/>
        </w:pBdr>
        <w:spacing w:after="0" w:line="240" w:lineRule="auto"/>
        <w:jc w:val="both"/>
        <w:rPr>
          <w:rFonts w:ascii="Arial" w:hAnsi="Arial" w:cs="Arial"/>
          <w:b/>
          <w:sz w:val="20"/>
          <w:szCs w:val="20"/>
        </w:rPr>
      </w:pPr>
      <w:r w:rsidRPr="00914CC2">
        <w:rPr>
          <w:rFonts w:ascii="Arial" w:hAnsi="Arial" w:cs="Arial"/>
          <w:b/>
          <w:sz w:val="20"/>
          <w:szCs w:val="20"/>
        </w:rPr>
        <w:t>WA</w:t>
      </w:r>
      <w:r w:rsidR="00D90BEE" w:rsidRPr="00914CC2">
        <w:rPr>
          <w:rFonts w:ascii="Arial" w:hAnsi="Arial" w:cs="Arial"/>
          <w:b/>
          <w:sz w:val="20"/>
          <w:szCs w:val="20"/>
        </w:rPr>
        <w:t xml:space="preserve">TER, </w:t>
      </w:r>
      <w:r w:rsidRPr="00914CC2">
        <w:rPr>
          <w:rFonts w:ascii="Arial" w:hAnsi="Arial" w:cs="Arial"/>
          <w:b/>
          <w:sz w:val="20"/>
          <w:szCs w:val="20"/>
        </w:rPr>
        <w:t>S</w:t>
      </w:r>
      <w:r w:rsidR="00D90BEE" w:rsidRPr="00914CC2">
        <w:rPr>
          <w:rFonts w:ascii="Arial" w:hAnsi="Arial" w:cs="Arial"/>
          <w:b/>
          <w:sz w:val="20"/>
          <w:szCs w:val="20"/>
        </w:rPr>
        <w:t xml:space="preserve">ANITATION AND </w:t>
      </w:r>
      <w:r w:rsidRPr="00914CC2">
        <w:rPr>
          <w:rFonts w:ascii="Arial" w:hAnsi="Arial" w:cs="Arial"/>
          <w:b/>
          <w:sz w:val="20"/>
          <w:szCs w:val="20"/>
        </w:rPr>
        <w:t>H</w:t>
      </w:r>
      <w:r w:rsidR="00D90BEE" w:rsidRPr="00914CC2">
        <w:rPr>
          <w:rFonts w:ascii="Arial" w:hAnsi="Arial" w:cs="Arial"/>
          <w:b/>
          <w:sz w:val="20"/>
          <w:szCs w:val="20"/>
        </w:rPr>
        <w:t>YGIENE (WASH)</w:t>
      </w:r>
    </w:p>
    <w:p w:rsidR="007B3C32" w:rsidRDefault="007B3C32" w:rsidP="007B3C32">
      <w:pPr>
        <w:autoSpaceDE w:val="0"/>
        <w:autoSpaceDN w:val="0"/>
        <w:adjustRightInd w:val="0"/>
        <w:spacing w:after="0" w:line="240" w:lineRule="auto"/>
        <w:jc w:val="both"/>
        <w:rPr>
          <w:rFonts w:ascii="Arial" w:hAnsi="Arial" w:cs="Arial"/>
          <w:sz w:val="20"/>
          <w:szCs w:val="20"/>
          <w:lang w:val="en-US"/>
        </w:rPr>
      </w:pPr>
    </w:p>
    <w:p w:rsidR="007B3C32" w:rsidRPr="00914CC2" w:rsidRDefault="00C1064D" w:rsidP="007B3C32">
      <w:pPr>
        <w:autoSpaceDE w:val="0"/>
        <w:autoSpaceDN w:val="0"/>
        <w:adjustRightInd w:val="0"/>
        <w:spacing w:after="0" w:line="240" w:lineRule="auto"/>
        <w:jc w:val="both"/>
        <w:rPr>
          <w:rFonts w:ascii="Arial" w:hAnsi="Arial" w:cs="Arial"/>
          <w:b/>
          <w:sz w:val="20"/>
          <w:szCs w:val="20"/>
          <w:lang w:val="en-US"/>
        </w:rPr>
      </w:pPr>
      <w:r w:rsidRPr="00914CC2">
        <w:rPr>
          <w:rFonts w:ascii="Arial" w:hAnsi="Arial" w:cs="Arial"/>
          <w:b/>
          <w:sz w:val="20"/>
          <w:szCs w:val="20"/>
          <w:lang w:val="en-US"/>
        </w:rPr>
        <w:t xml:space="preserve">Goal and </w:t>
      </w:r>
      <w:r w:rsidR="007B3C32" w:rsidRPr="00914CC2">
        <w:rPr>
          <w:rFonts w:ascii="Arial" w:hAnsi="Arial" w:cs="Arial"/>
          <w:b/>
          <w:sz w:val="20"/>
          <w:szCs w:val="20"/>
          <w:lang w:val="en-US"/>
        </w:rPr>
        <w:t xml:space="preserve">Objectives of DRR </w:t>
      </w:r>
      <w:r w:rsidRPr="00914CC2">
        <w:rPr>
          <w:rFonts w:ascii="Arial" w:hAnsi="Arial" w:cs="Arial"/>
          <w:b/>
          <w:sz w:val="20"/>
          <w:szCs w:val="20"/>
          <w:lang w:val="en-US"/>
        </w:rPr>
        <w:t>mainstreaming in WASH recovery programming</w:t>
      </w:r>
    </w:p>
    <w:p w:rsidR="00C1064D" w:rsidRDefault="00C1064D" w:rsidP="007B3C32">
      <w:pPr>
        <w:autoSpaceDE w:val="0"/>
        <w:autoSpaceDN w:val="0"/>
        <w:adjustRightInd w:val="0"/>
        <w:spacing w:after="0" w:line="240" w:lineRule="auto"/>
        <w:jc w:val="both"/>
        <w:rPr>
          <w:rFonts w:ascii="Arial" w:hAnsi="Arial" w:cs="Arial"/>
          <w:sz w:val="20"/>
          <w:szCs w:val="20"/>
          <w:lang w:val="en-US"/>
        </w:rPr>
      </w:pPr>
    </w:p>
    <w:p w:rsidR="00600BEB" w:rsidRDefault="00600BEB" w:rsidP="007B3C32">
      <w:pPr>
        <w:autoSpaceDE w:val="0"/>
        <w:autoSpaceDN w:val="0"/>
        <w:adjustRightInd w:val="0"/>
        <w:spacing w:after="0" w:line="240" w:lineRule="auto"/>
        <w:jc w:val="both"/>
        <w:rPr>
          <w:rFonts w:ascii="Arial" w:hAnsi="Arial" w:cs="Arial"/>
          <w:sz w:val="20"/>
          <w:szCs w:val="20"/>
          <w:lang w:val="en-US"/>
        </w:rPr>
      </w:pPr>
      <w:r w:rsidRPr="00345156">
        <w:rPr>
          <w:rFonts w:ascii="Arial" w:hAnsi="Arial" w:cs="Arial"/>
          <w:sz w:val="20"/>
          <w:szCs w:val="20"/>
          <w:lang w:val="en-US"/>
        </w:rPr>
        <w:t>Identify</w:t>
      </w:r>
      <w:r w:rsidR="00C1064D">
        <w:rPr>
          <w:rFonts w:ascii="Arial" w:hAnsi="Arial" w:cs="Arial"/>
          <w:sz w:val="20"/>
          <w:szCs w:val="20"/>
          <w:lang w:val="en-US"/>
        </w:rPr>
        <w:t>ing, managing</w:t>
      </w:r>
      <w:r w:rsidRPr="00345156">
        <w:rPr>
          <w:rFonts w:ascii="Arial" w:hAnsi="Arial" w:cs="Arial"/>
          <w:sz w:val="20"/>
          <w:szCs w:val="20"/>
          <w:lang w:val="en-US"/>
        </w:rPr>
        <w:t xml:space="preserve"> and </w:t>
      </w:r>
      <w:r w:rsidR="00C1064D">
        <w:rPr>
          <w:rFonts w:ascii="Arial" w:hAnsi="Arial" w:cs="Arial"/>
          <w:sz w:val="20"/>
          <w:szCs w:val="20"/>
          <w:lang w:val="en-US"/>
        </w:rPr>
        <w:t>minimizing</w:t>
      </w:r>
      <w:r w:rsidRPr="00345156">
        <w:rPr>
          <w:rFonts w:ascii="Arial" w:hAnsi="Arial" w:cs="Arial"/>
          <w:sz w:val="20"/>
          <w:szCs w:val="20"/>
          <w:lang w:val="en-US"/>
        </w:rPr>
        <w:t xml:space="preserve"> </w:t>
      </w:r>
      <w:r w:rsidR="00C1064D">
        <w:rPr>
          <w:rFonts w:ascii="Arial" w:hAnsi="Arial" w:cs="Arial"/>
          <w:sz w:val="20"/>
          <w:szCs w:val="20"/>
          <w:lang w:val="en-US"/>
        </w:rPr>
        <w:t>disaster</w:t>
      </w:r>
      <w:r w:rsidRPr="00345156">
        <w:rPr>
          <w:rFonts w:ascii="Arial" w:hAnsi="Arial" w:cs="Arial"/>
          <w:sz w:val="20"/>
          <w:szCs w:val="20"/>
          <w:lang w:val="en-US"/>
        </w:rPr>
        <w:t xml:space="preserve"> risks </w:t>
      </w:r>
      <w:r w:rsidR="005B6E25">
        <w:rPr>
          <w:rFonts w:ascii="Arial" w:hAnsi="Arial" w:cs="Arial"/>
          <w:sz w:val="20"/>
          <w:szCs w:val="20"/>
          <w:lang w:val="en-US"/>
        </w:rPr>
        <w:t>offers</w:t>
      </w:r>
      <w:r w:rsidRPr="00345156">
        <w:rPr>
          <w:rFonts w:ascii="Arial" w:hAnsi="Arial" w:cs="Arial"/>
          <w:sz w:val="20"/>
          <w:szCs w:val="20"/>
          <w:lang w:val="en-US"/>
        </w:rPr>
        <w:t xml:space="preserve"> bene</w:t>
      </w:r>
      <w:r w:rsidR="00641A1C">
        <w:rPr>
          <w:rFonts w:ascii="Arial" w:hAnsi="Arial" w:cs="Arial"/>
          <w:sz w:val="20"/>
          <w:szCs w:val="20"/>
          <w:lang w:val="en-US"/>
        </w:rPr>
        <w:t>fits to long-term WASH program</w:t>
      </w:r>
      <w:r w:rsidRPr="00345156">
        <w:rPr>
          <w:rFonts w:ascii="Arial" w:hAnsi="Arial" w:cs="Arial"/>
          <w:sz w:val="20"/>
          <w:szCs w:val="20"/>
          <w:lang w:val="en-US"/>
        </w:rPr>
        <w:t xml:space="preserve"> performance by decreasing the sensitivity of the WASH sector to </w:t>
      </w:r>
      <w:r w:rsidR="00C1064D">
        <w:rPr>
          <w:rFonts w:ascii="Arial" w:hAnsi="Arial" w:cs="Arial"/>
          <w:sz w:val="20"/>
          <w:szCs w:val="20"/>
          <w:lang w:val="en-US"/>
        </w:rPr>
        <w:t>climatic uncertainty</w:t>
      </w:r>
      <w:r w:rsidRPr="00345156">
        <w:rPr>
          <w:rFonts w:ascii="Arial" w:hAnsi="Arial" w:cs="Arial"/>
          <w:sz w:val="20"/>
          <w:szCs w:val="20"/>
          <w:lang w:val="en-US"/>
        </w:rPr>
        <w:t>.</w:t>
      </w:r>
      <w:r w:rsidR="00C1064D">
        <w:rPr>
          <w:rFonts w:ascii="Arial" w:hAnsi="Arial" w:cs="Arial"/>
          <w:sz w:val="20"/>
          <w:szCs w:val="20"/>
          <w:lang w:val="en-US"/>
        </w:rPr>
        <w:t xml:space="preserve"> Specifically, the mainstreaming of DRR in WASH recovery programming has the following objectives</w:t>
      </w:r>
      <w:r w:rsidR="005B6E25">
        <w:rPr>
          <w:rFonts w:ascii="Arial" w:hAnsi="Arial" w:cs="Arial"/>
          <w:sz w:val="20"/>
          <w:szCs w:val="20"/>
          <w:lang w:val="en-US"/>
        </w:rPr>
        <w:t>:</w:t>
      </w:r>
    </w:p>
    <w:p w:rsidR="007B3C32" w:rsidRPr="00600BEB" w:rsidRDefault="007B3C32" w:rsidP="00600BEB">
      <w:pPr>
        <w:pStyle w:val="ListParagraph"/>
        <w:numPr>
          <w:ilvl w:val="0"/>
          <w:numId w:val="3"/>
        </w:numPr>
        <w:autoSpaceDE w:val="0"/>
        <w:autoSpaceDN w:val="0"/>
        <w:adjustRightInd w:val="0"/>
        <w:spacing w:after="0" w:line="240" w:lineRule="auto"/>
        <w:jc w:val="both"/>
        <w:rPr>
          <w:rFonts w:ascii="Arial" w:hAnsi="Arial" w:cs="Arial"/>
          <w:sz w:val="20"/>
          <w:szCs w:val="20"/>
          <w:lang w:val="en-US"/>
        </w:rPr>
      </w:pPr>
      <w:r w:rsidRPr="00600BEB">
        <w:rPr>
          <w:rFonts w:ascii="Arial" w:hAnsi="Arial" w:cs="Arial"/>
          <w:sz w:val="20"/>
          <w:szCs w:val="20"/>
          <w:lang w:val="en-US"/>
        </w:rPr>
        <w:t xml:space="preserve">Reduce the potential impact of </w:t>
      </w:r>
      <w:r w:rsidR="00C1064D">
        <w:rPr>
          <w:rFonts w:ascii="Arial" w:hAnsi="Arial" w:cs="Arial"/>
          <w:sz w:val="20"/>
          <w:szCs w:val="20"/>
          <w:lang w:val="en-US"/>
        </w:rPr>
        <w:t>hazard events o</w:t>
      </w:r>
      <w:r w:rsidRPr="00600BEB">
        <w:rPr>
          <w:rFonts w:ascii="Arial" w:hAnsi="Arial" w:cs="Arial"/>
          <w:sz w:val="20"/>
          <w:szCs w:val="20"/>
          <w:lang w:val="en-US"/>
        </w:rPr>
        <w:t>n WASH services (mitigation)</w:t>
      </w:r>
    </w:p>
    <w:p w:rsidR="007B3C32" w:rsidRPr="00600BEB" w:rsidRDefault="007B3C32" w:rsidP="00600BEB">
      <w:pPr>
        <w:pStyle w:val="ListParagraph"/>
        <w:numPr>
          <w:ilvl w:val="0"/>
          <w:numId w:val="3"/>
        </w:numPr>
        <w:autoSpaceDE w:val="0"/>
        <w:autoSpaceDN w:val="0"/>
        <w:adjustRightInd w:val="0"/>
        <w:spacing w:after="0" w:line="240" w:lineRule="auto"/>
        <w:jc w:val="both"/>
        <w:rPr>
          <w:rFonts w:ascii="Arial" w:hAnsi="Arial" w:cs="Arial"/>
          <w:sz w:val="20"/>
          <w:szCs w:val="20"/>
          <w:lang w:val="en-US"/>
        </w:rPr>
      </w:pPr>
      <w:r w:rsidRPr="00600BEB">
        <w:rPr>
          <w:rFonts w:ascii="Arial" w:hAnsi="Arial" w:cs="Arial"/>
          <w:sz w:val="20"/>
          <w:szCs w:val="20"/>
          <w:lang w:val="en-US"/>
        </w:rPr>
        <w:t xml:space="preserve">Ensure the design of the new or adapted systems addresses earlier </w:t>
      </w:r>
      <w:r w:rsidR="0021432B" w:rsidRPr="00600BEB">
        <w:rPr>
          <w:rFonts w:ascii="Arial" w:hAnsi="Arial" w:cs="Arial"/>
          <w:sz w:val="20"/>
          <w:szCs w:val="20"/>
          <w:lang w:val="en-US"/>
        </w:rPr>
        <w:t>vulnerabilities</w:t>
      </w:r>
      <w:r w:rsidRPr="00600BEB">
        <w:rPr>
          <w:rFonts w:ascii="Arial" w:hAnsi="Arial" w:cs="Arial"/>
          <w:sz w:val="20"/>
          <w:szCs w:val="20"/>
          <w:lang w:val="en-US"/>
        </w:rPr>
        <w:t xml:space="preserve"> (build back better)</w:t>
      </w:r>
    </w:p>
    <w:p w:rsidR="007B3C32" w:rsidRPr="00600BEB" w:rsidRDefault="007B3C32" w:rsidP="00600BEB">
      <w:pPr>
        <w:pStyle w:val="ListParagraph"/>
        <w:numPr>
          <w:ilvl w:val="0"/>
          <w:numId w:val="3"/>
        </w:numPr>
        <w:autoSpaceDE w:val="0"/>
        <w:autoSpaceDN w:val="0"/>
        <w:adjustRightInd w:val="0"/>
        <w:spacing w:after="0" w:line="240" w:lineRule="auto"/>
        <w:jc w:val="both"/>
        <w:rPr>
          <w:rFonts w:ascii="Arial" w:hAnsi="Arial" w:cs="Arial"/>
          <w:sz w:val="20"/>
          <w:szCs w:val="20"/>
          <w:lang w:val="en-US"/>
        </w:rPr>
      </w:pPr>
      <w:r w:rsidRPr="00600BEB">
        <w:rPr>
          <w:rFonts w:ascii="Arial" w:hAnsi="Arial" w:cs="Arial"/>
          <w:sz w:val="20"/>
          <w:szCs w:val="20"/>
          <w:lang w:val="en-US"/>
        </w:rPr>
        <w:lastRenderedPageBreak/>
        <w:t>Ensure WASH services have minimal negative effects on society and the environment (do no harm)</w:t>
      </w:r>
    </w:p>
    <w:p w:rsidR="00CD06C3" w:rsidRPr="00345156" w:rsidRDefault="00CD06C3" w:rsidP="00345156">
      <w:pPr>
        <w:autoSpaceDE w:val="0"/>
        <w:autoSpaceDN w:val="0"/>
        <w:adjustRightInd w:val="0"/>
        <w:spacing w:after="0" w:line="240" w:lineRule="auto"/>
        <w:jc w:val="both"/>
        <w:rPr>
          <w:rFonts w:ascii="Arial" w:hAnsi="Arial" w:cs="Arial"/>
          <w:sz w:val="20"/>
          <w:szCs w:val="20"/>
          <w:lang w:val="en-US"/>
        </w:rPr>
      </w:pPr>
    </w:p>
    <w:p w:rsidR="00F83346" w:rsidRPr="00345156" w:rsidRDefault="00352896" w:rsidP="00345156">
      <w:pPr>
        <w:autoSpaceDE w:val="0"/>
        <w:autoSpaceDN w:val="0"/>
        <w:adjustRightInd w:val="0"/>
        <w:spacing w:after="0" w:line="240" w:lineRule="auto"/>
        <w:jc w:val="both"/>
        <w:rPr>
          <w:rFonts w:ascii="Arial" w:hAnsi="Arial" w:cs="Arial"/>
          <w:sz w:val="20"/>
          <w:szCs w:val="20"/>
          <w:lang w:val="en-US"/>
        </w:rPr>
      </w:pPr>
      <w:r>
        <w:rPr>
          <w:noProof/>
          <w:lang w:val="en-US"/>
        </w:rPr>
        <w:drawing>
          <wp:anchor distT="0" distB="0" distL="114300" distR="114300" simplePos="0" relativeHeight="251658240" behindDoc="0" locked="0" layoutInCell="1" allowOverlap="1" wp14:anchorId="64897F30" wp14:editId="09E14F40">
            <wp:simplePos x="0" y="0"/>
            <wp:positionH relativeFrom="margin">
              <wp:posOffset>3691548</wp:posOffset>
            </wp:positionH>
            <wp:positionV relativeFrom="paragraph">
              <wp:posOffset>-86751</wp:posOffset>
            </wp:positionV>
            <wp:extent cx="2602230" cy="1617345"/>
            <wp:effectExtent l="19050" t="19050" r="26670" b="20955"/>
            <wp:wrapSquare wrapText="bothSides"/>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230" cy="1617345"/>
                    </a:xfrm>
                    <a:prstGeom prst="rect">
                      <a:avLst/>
                    </a:prstGeom>
                    <a:noFill/>
                    <a:ln w="9525" cmpd="sng">
                      <a:solidFill>
                        <a:schemeClr val="bg1"/>
                      </a:solidFill>
                      <a:miter lim="800000"/>
                      <a:headEnd/>
                      <a:tailEnd/>
                    </a:ln>
                    <a:effectLst/>
                  </pic:spPr>
                </pic:pic>
              </a:graphicData>
            </a:graphic>
          </wp:anchor>
        </w:drawing>
      </w:r>
      <w:r w:rsidR="00C1064D">
        <w:rPr>
          <w:rFonts w:ascii="Arial" w:hAnsi="Arial" w:cs="Arial"/>
          <w:sz w:val="20"/>
          <w:szCs w:val="20"/>
          <w:lang w:val="en-US"/>
        </w:rPr>
        <w:t>Overall, the mainstreaming of DRR in WASH recovery and development programming follows three a</w:t>
      </w:r>
      <w:r w:rsidR="00600BEB">
        <w:rPr>
          <w:rFonts w:ascii="Arial" w:hAnsi="Arial" w:cs="Arial"/>
          <w:sz w:val="20"/>
          <w:szCs w:val="20"/>
          <w:lang w:val="en-US"/>
        </w:rPr>
        <w:t>pproaches</w:t>
      </w:r>
      <w:r w:rsidR="00C1064D">
        <w:rPr>
          <w:rFonts w:ascii="Arial" w:hAnsi="Arial" w:cs="Arial"/>
          <w:sz w:val="20"/>
          <w:szCs w:val="20"/>
          <w:lang w:val="en-US"/>
        </w:rPr>
        <w:t>:</w:t>
      </w:r>
    </w:p>
    <w:p w:rsidR="00DF6F33" w:rsidRPr="00345156" w:rsidRDefault="00600BEB" w:rsidP="00345156">
      <w:pPr>
        <w:pStyle w:val="ListParagraph"/>
        <w:numPr>
          <w:ilvl w:val="0"/>
          <w:numId w:val="1"/>
        </w:num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R</w:t>
      </w:r>
      <w:r w:rsidR="00DF6F33" w:rsidRPr="00345156">
        <w:rPr>
          <w:rFonts w:ascii="Arial" w:hAnsi="Arial" w:cs="Arial"/>
          <w:sz w:val="20"/>
          <w:szCs w:val="20"/>
          <w:lang w:val="en-US"/>
        </w:rPr>
        <w:t>eduction in the likelihood that individuals feel</w:t>
      </w:r>
      <w:r w:rsidR="00F83346" w:rsidRPr="00345156">
        <w:rPr>
          <w:rFonts w:ascii="Arial" w:hAnsi="Arial" w:cs="Arial"/>
          <w:sz w:val="20"/>
          <w:szCs w:val="20"/>
          <w:lang w:val="en-US"/>
        </w:rPr>
        <w:t xml:space="preserve"> </w:t>
      </w:r>
      <w:r w:rsidR="00DF6F33" w:rsidRPr="00345156">
        <w:rPr>
          <w:rFonts w:ascii="Arial" w:hAnsi="Arial" w:cs="Arial"/>
          <w:sz w:val="20"/>
          <w:szCs w:val="20"/>
          <w:lang w:val="en-US"/>
        </w:rPr>
        <w:t xml:space="preserve">the effects of </w:t>
      </w:r>
      <w:r w:rsidR="00C1064D">
        <w:rPr>
          <w:rFonts w:ascii="Arial" w:hAnsi="Arial" w:cs="Arial"/>
          <w:sz w:val="20"/>
          <w:szCs w:val="20"/>
          <w:lang w:val="en-US"/>
        </w:rPr>
        <w:t>disasters</w:t>
      </w:r>
      <w:r w:rsidR="00DF6F33" w:rsidRPr="00345156">
        <w:rPr>
          <w:rFonts w:ascii="Arial" w:hAnsi="Arial" w:cs="Arial"/>
          <w:sz w:val="20"/>
          <w:szCs w:val="20"/>
          <w:lang w:val="en-US"/>
        </w:rPr>
        <w:t>.</w:t>
      </w:r>
      <w:r w:rsidR="00F83346" w:rsidRPr="00345156">
        <w:rPr>
          <w:rFonts w:ascii="Arial" w:hAnsi="Arial" w:cs="Arial"/>
          <w:sz w:val="20"/>
          <w:szCs w:val="20"/>
          <w:lang w:val="en-US"/>
        </w:rPr>
        <w:t xml:space="preserve"> </w:t>
      </w:r>
      <w:r w:rsidR="00DF6F33" w:rsidRPr="00345156">
        <w:rPr>
          <w:rFonts w:ascii="Arial" w:hAnsi="Arial" w:cs="Arial"/>
          <w:sz w:val="20"/>
          <w:szCs w:val="20"/>
          <w:lang w:val="en-US"/>
        </w:rPr>
        <w:t>This can be achieved through programming that</w:t>
      </w:r>
      <w:r w:rsidR="00F83346" w:rsidRPr="00345156">
        <w:rPr>
          <w:rFonts w:ascii="Arial" w:hAnsi="Arial" w:cs="Arial"/>
          <w:sz w:val="20"/>
          <w:szCs w:val="20"/>
          <w:lang w:val="en-US"/>
        </w:rPr>
        <w:t xml:space="preserve"> </w:t>
      </w:r>
      <w:r w:rsidR="00DF6F33" w:rsidRPr="00345156">
        <w:rPr>
          <w:rFonts w:ascii="Arial" w:hAnsi="Arial" w:cs="Arial"/>
          <w:sz w:val="20"/>
          <w:szCs w:val="20"/>
          <w:lang w:val="en-US"/>
        </w:rPr>
        <w:t>seeks to both understand the determinants of</w:t>
      </w:r>
      <w:r w:rsidR="00F83346" w:rsidRPr="00345156">
        <w:rPr>
          <w:rFonts w:ascii="Arial" w:hAnsi="Arial" w:cs="Arial"/>
          <w:sz w:val="20"/>
          <w:szCs w:val="20"/>
          <w:lang w:val="en-US"/>
        </w:rPr>
        <w:t xml:space="preserve"> </w:t>
      </w:r>
      <w:r w:rsidR="00C1064D">
        <w:rPr>
          <w:rFonts w:ascii="Arial" w:hAnsi="Arial" w:cs="Arial"/>
          <w:sz w:val="20"/>
          <w:szCs w:val="20"/>
          <w:lang w:val="en-US"/>
        </w:rPr>
        <w:t>disaster</w:t>
      </w:r>
      <w:r w:rsidR="00DF6F33" w:rsidRPr="00345156">
        <w:rPr>
          <w:rFonts w:ascii="Arial" w:hAnsi="Arial" w:cs="Arial"/>
          <w:sz w:val="20"/>
          <w:szCs w:val="20"/>
          <w:lang w:val="en-US"/>
        </w:rPr>
        <w:t xml:space="preserve"> risk exposure to WASH services and act on</w:t>
      </w:r>
      <w:r w:rsidR="00F83346" w:rsidRPr="00345156">
        <w:rPr>
          <w:rFonts w:ascii="Arial" w:hAnsi="Arial" w:cs="Arial"/>
          <w:sz w:val="20"/>
          <w:szCs w:val="20"/>
          <w:lang w:val="en-US"/>
        </w:rPr>
        <w:t xml:space="preserve"> </w:t>
      </w:r>
      <w:r w:rsidR="00DF6F33" w:rsidRPr="00345156">
        <w:rPr>
          <w:rFonts w:ascii="Arial" w:hAnsi="Arial" w:cs="Arial"/>
          <w:sz w:val="20"/>
          <w:szCs w:val="20"/>
          <w:lang w:val="en-US"/>
        </w:rPr>
        <w:t xml:space="preserve">them to </w:t>
      </w:r>
      <w:r w:rsidR="00641A1C" w:rsidRPr="00345156">
        <w:rPr>
          <w:rFonts w:ascii="Arial" w:hAnsi="Arial" w:cs="Arial"/>
          <w:sz w:val="20"/>
          <w:szCs w:val="20"/>
          <w:lang w:val="en-US"/>
        </w:rPr>
        <w:t>minimize</w:t>
      </w:r>
      <w:r w:rsidR="00DF6F33" w:rsidRPr="00345156">
        <w:rPr>
          <w:rFonts w:ascii="Arial" w:hAnsi="Arial" w:cs="Arial"/>
          <w:sz w:val="20"/>
          <w:szCs w:val="20"/>
          <w:lang w:val="en-US"/>
        </w:rPr>
        <w:t xml:space="preserve"> the exposure of individuals.</w:t>
      </w:r>
    </w:p>
    <w:p w:rsidR="00DF6F33" w:rsidRPr="00345156" w:rsidRDefault="00DF6F33" w:rsidP="00345156">
      <w:pPr>
        <w:pStyle w:val="ListParagraph"/>
        <w:numPr>
          <w:ilvl w:val="0"/>
          <w:numId w:val="1"/>
        </w:numPr>
        <w:autoSpaceDE w:val="0"/>
        <w:autoSpaceDN w:val="0"/>
        <w:adjustRightInd w:val="0"/>
        <w:spacing w:after="0" w:line="240" w:lineRule="auto"/>
        <w:jc w:val="both"/>
        <w:rPr>
          <w:rFonts w:ascii="Arial" w:hAnsi="Arial" w:cs="Arial"/>
          <w:sz w:val="20"/>
          <w:szCs w:val="20"/>
          <w:lang w:val="en-US"/>
        </w:rPr>
      </w:pPr>
      <w:r w:rsidRPr="00345156">
        <w:rPr>
          <w:rFonts w:ascii="Arial" w:hAnsi="Arial" w:cs="Arial"/>
          <w:sz w:val="20"/>
          <w:szCs w:val="20"/>
          <w:lang w:val="en-US"/>
        </w:rPr>
        <w:t>Strengthening t</w:t>
      </w:r>
      <w:r w:rsidR="00C1064D">
        <w:rPr>
          <w:rFonts w:ascii="Arial" w:hAnsi="Arial" w:cs="Arial"/>
          <w:sz w:val="20"/>
          <w:szCs w:val="20"/>
          <w:lang w:val="en-US"/>
        </w:rPr>
        <w:t xml:space="preserve">he reliability of WASH services, also called disaster-proofing of WASH infrastructures. </w:t>
      </w:r>
    </w:p>
    <w:p w:rsidR="004B42FA" w:rsidRPr="00345156" w:rsidRDefault="00DF6F33" w:rsidP="00345156">
      <w:pPr>
        <w:pStyle w:val="ListParagraph"/>
        <w:numPr>
          <w:ilvl w:val="0"/>
          <w:numId w:val="1"/>
        </w:numPr>
        <w:autoSpaceDE w:val="0"/>
        <w:autoSpaceDN w:val="0"/>
        <w:adjustRightInd w:val="0"/>
        <w:spacing w:after="0" w:line="240" w:lineRule="auto"/>
        <w:jc w:val="both"/>
        <w:rPr>
          <w:rFonts w:ascii="Arial" w:hAnsi="Arial" w:cs="Arial"/>
          <w:sz w:val="20"/>
          <w:szCs w:val="20"/>
          <w:lang w:val="en-US"/>
        </w:rPr>
      </w:pPr>
      <w:r w:rsidRPr="00345156">
        <w:rPr>
          <w:rFonts w:ascii="Arial" w:hAnsi="Arial" w:cs="Arial"/>
          <w:sz w:val="20"/>
          <w:szCs w:val="20"/>
          <w:lang w:val="en-US"/>
        </w:rPr>
        <w:t>Strengthening capacities of governments and</w:t>
      </w:r>
      <w:r w:rsidR="00F83346" w:rsidRPr="00345156">
        <w:rPr>
          <w:rFonts w:ascii="Arial" w:hAnsi="Arial" w:cs="Arial"/>
          <w:sz w:val="20"/>
          <w:szCs w:val="20"/>
          <w:lang w:val="en-US"/>
        </w:rPr>
        <w:t xml:space="preserve"> </w:t>
      </w:r>
      <w:r w:rsidRPr="00345156">
        <w:rPr>
          <w:rFonts w:ascii="Arial" w:hAnsi="Arial" w:cs="Arial"/>
          <w:sz w:val="20"/>
          <w:szCs w:val="20"/>
          <w:lang w:val="en-US"/>
        </w:rPr>
        <w:t xml:space="preserve">communities to increase </w:t>
      </w:r>
      <w:r w:rsidR="005B6E25">
        <w:rPr>
          <w:rFonts w:ascii="Arial" w:hAnsi="Arial" w:cs="Arial"/>
          <w:sz w:val="20"/>
          <w:szCs w:val="20"/>
          <w:lang w:val="en-US"/>
        </w:rPr>
        <w:t>disaster</w:t>
      </w:r>
      <w:r w:rsidRPr="00345156">
        <w:rPr>
          <w:rFonts w:ascii="Arial" w:hAnsi="Arial" w:cs="Arial"/>
          <w:sz w:val="20"/>
          <w:szCs w:val="20"/>
          <w:lang w:val="en-US"/>
        </w:rPr>
        <w:t xml:space="preserve"> resilience over</w:t>
      </w:r>
      <w:r w:rsidR="00F83346" w:rsidRPr="00345156">
        <w:rPr>
          <w:rFonts w:ascii="Arial" w:hAnsi="Arial" w:cs="Arial"/>
          <w:sz w:val="20"/>
          <w:szCs w:val="20"/>
          <w:lang w:val="en-US"/>
        </w:rPr>
        <w:t xml:space="preserve"> </w:t>
      </w:r>
      <w:r w:rsidRPr="00345156">
        <w:rPr>
          <w:rFonts w:ascii="Arial" w:hAnsi="Arial" w:cs="Arial"/>
          <w:sz w:val="20"/>
          <w:szCs w:val="20"/>
          <w:lang w:val="en-US"/>
        </w:rPr>
        <w:t>time. This can be achieved by helping governments</w:t>
      </w:r>
      <w:r w:rsidR="00F83346" w:rsidRPr="00345156">
        <w:rPr>
          <w:rFonts w:ascii="Arial" w:hAnsi="Arial" w:cs="Arial"/>
          <w:sz w:val="20"/>
          <w:szCs w:val="20"/>
          <w:lang w:val="en-US"/>
        </w:rPr>
        <w:t xml:space="preserve"> </w:t>
      </w:r>
      <w:r w:rsidRPr="00345156">
        <w:rPr>
          <w:rFonts w:ascii="Arial" w:hAnsi="Arial" w:cs="Arial"/>
          <w:sz w:val="20"/>
          <w:szCs w:val="20"/>
          <w:lang w:val="en-US"/>
        </w:rPr>
        <w:t>design, deliver and sustain investments in WASH</w:t>
      </w:r>
      <w:r w:rsidR="00F83346" w:rsidRPr="00345156">
        <w:rPr>
          <w:rFonts w:ascii="Arial" w:hAnsi="Arial" w:cs="Arial"/>
          <w:sz w:val="20"/>
          <w:szCs w:val="20"/>
          <w:lang w:val="en-US"/>
        </w:rPr>
        <w:t xml:space="preserve"> </w:t>
      </w:r>
      <w:r w:rsidRPr="00345156">
        <w:rPr>
          <w:rFonts w:ascii="Arial" w:hAnsi="Arial" w:cs="Arial"/>
          <w:sz w:val="20"/>
          <w:szCs w:val="20"/>
          <w:lang w:val="en-US"/>
        </w:rPr>
        <w:t>services that consider the additional risks posed</w:t>
      </w:r>
      <w:r w:rsidR="00F83346" w:rsidRPr="00345156">
        <w:rPr>
          <w:rFonts w:ascii="Arial" w:hAnsi="Arial" w:cs="Arial"/>
          <w:sz w:val="20"/>
          <w:szCs w:val="20"/>
          <w:lang w:val="en-US"/>
        </w:rPr>
        <w:t xml:space="preserve"> </w:t>
      </w:r>
      <w:r w:rsidRPr="00345156">
        <w:rPr>
          <w:rFonts w:ascii="Arial" w:hAnsi="Arial" w:cs="Arial"/>
          <w:sz w:val="20"/>
          <w:szCs w:val="20"/>
          <w:lang w:val="en-US"/>
        </w:rPr>
        <w:t xml:space="preserve">by </w:t>
      </w:r>
      <w:r w:rsidR="005B6E25">
        <w:rPr>
          <w:rFonts w:ascii="Arial" w:hAnsi="Arial" w:cs="Arial"/>
          <w:sz w:val="20"/>
          <w:szCs w:val="20"/>
          <w:lang w:val="en-US"/>
        </w:rPr>
        <w:t xml:space="preserve">disasters and </w:t>
      </w:r>
      <w:r w:rsidRPr="00345156">
        <w:rPr>
          <w:rFonts w:ascii="Arial" w:hAnsi="Arial" w:cs="Arial"/>
          <w:sz w:val="20"/>
          <w:szCs w:val="20"/>
          <w:lang w:val="en-US"/>
        </w:rPr>
        <w:t>climate change</w:t>
      </w:r>
      <w:r w:rsidR="005B6E25">
        <w:rPr>
          <w:rFonts w:ascii="Arial" w:hAnsi="Arial" w:cs="Arial"/>
          <w:sz w:val="20"/>
          <w:szCs w:val="20"/>
          <w:lang w:val="en-US"/>
        </w:rPr>
        <w:t>, as well as</w:t>
      </w:r>
      <w:r w:rsidRPr="00345156">
        <w:rPr>
          <w:rFonts w:ascii="Arial" w:hAnsi="Arial" w:cs="Arial"/>
          <w:sz w:val="20"/>
          <w:szCs w:val="20"/>
          <w:lang w:val="en-US"/>
        </w:rPr>
        <w:t xml:space="preserve"> by strengthening multi-level</w:t>
      </w:r>
      <w:r w:rsidR="00F83346" w:rsidRPr="00345156">
        <w:rPr>
          <w:rFonts w:ascii="Arial" w:hAnsi="Arial" w:cs="Arial"/>
          <w:sz w:val="20"/>
          <w:szCs w:val="20"/>
          <w:lang w:val="en-US"/>
        </w:rPr>
        <w:t xml:space="preserve"> </w:t>
      </w:r>
      <w:r w:rsidRPr="00345156">
        <w:rPr>
          <w:rFonts w:ascii="Arial" w:hAnsi="Arial" w:cs="Arial"/>
          <w:sz w:val="20"/>
          <w:szCs w:val="20"/>
          <w:lang w:val="en-US"/>
        </w:rPr>
        <w:t>WASH governance, strategies/plans and systems</w:t>
      </w:r>
      <w:r w:rsidR="00F83346" w:rsidRPr="00345156">
        <w:rPr>
          <w:rFonts w:ascii="Arial" w:hAnsi="Arial" w:cs="Arial"/>
          <w:sz w:val="20"/>
          <w:szCs w:val="20"/>
          <w:lang w:val="en-US"/>
        </w:rPr>
        <w:t xml:space="preserve"> </w:t>
      </w:r>
      <w:r w:rsidRPr="00345156">
        <w:rPr>
          <w:rFonts w:ascii="Arial" w:hAnsi="Arial" w:cs="Arial"/>
          <w:sz w:val="20"/>
          <w:szCs w:val="20"/>
          <w:lang w:val="en-US"/>
        </w:rPr>
        <w:t>as well as building the adaptive capacity</w:t>
      </w:r>
      <w:r w:rsidR="00F83346" w:rsidRPr="00345156">
        <w:rPr>
          <w:rFonts w:ascii="Arial" w:hAnsi="Arial" w:cs="Arial"/>
          <w:sz w:val="20"/>
          <w:szCs w:val="20"/>
          <w:lang w:val="en-US"/>
        </w:rPr>
        <w:t xml:space="preserve"> </w:t>
      </w:r>
      <w:r w:rsidRPr="00345156">
        <w:rPr>
          <w:rFonts w:ascii="Arial" w:hAnsi="Arial" w:cs="Arial"/>
          <w:sz w:val="20"/>
          <w:szCs w:val="20"/>
          <w:lang w:val="en-US"/>
        </w:rPr>
        <w:t>of communities to deal with shocks.</w:t>
      </w:r>
    </w:p>
    <w:p w:rsidR="007463A7" w:rsidRDefault="007463A7" w:rsidP="00345156">
      <w:pPr>
        <w:spacing w:after="0" w:line="240" w:lineRule="auto"/>
        <w:jc w:val="both"/>
        <w:rPr>
          <w:rFonts w:ascii="Arial" w:hAnsi="Arial" w:cs="Arial"/>
          <w:sz w:val="20"/>
          <w:szCs w:val="20"/>
          <w:lang w:val="en-US"/>
        </w:rPr>
      </w:pPr>
    </w:p>
    <w:p w:rsidR="00893B59" w:rsidRPr="00914CC2" w:rsidRDefault="00893B59" w:rsidP="00345156">
      <w:pPr>
        <w:spacing w:after="0" w:line="240" w:lineRule="auto"/>
        <w:jc w:val="both"/>
        <w:rPr>
          <w:rFonts w:ascii="Arial" w:hAnsi="Arial" w:cs="Arial"/>
          <w:b/>
          <w:sz w:val="20"/>
          <w:szCs w:val="20"/>
          <w:lang w:val="en-US"/>
        </w:rPr>
      </w:pPr>
      <w:r w:rsidRPr="00914CC2">
        <w:rPr>
          <w:rFonts w:ascii="Arial" w:hAnsi="Arial" w:cs="Arial"/>
          <w:b/>
          <w:sz w:val="20"/>
          <w:szCs w:val="20"/>
          <w:lang w:val="en-US"/>
        </w:rPr>
        <w:t>Examples of measures that support the mainstreaming of DRR in WASH recovery programming</w:t>
      </w:r>
    </w:p>
    <w:p w:rsidR="00893B59" w:rsidRPr="00893B59" w:rsidRDefault="00893B59" w:rsidP="00345156">
      <w:pPr>
        <w:spacing w:after="0" w:line="240" w:lineRule="auto"/>
        <w:jc w:val="both"/>
        <w:rPr>
          <w:rFonts w:ascii="Arial" w:hAnsi="Arial" w:cs="Arial"/>
          <w:sz w:val="20"/>
          <w:szCs w:val="20"/>
          <w:lang w:val="en-US"/>
        </w:rPr>
      </w:pPr>
    </w:p>
    <w:tbl>
      <w:tblPr>
        <w:tblStyle w:val="TableGrid"/>
        <w:tblW w:w="95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710"/>
        <w:gridCol w:w="6300"/>
      </w:tblGrid>
      <w:tr w:rsidR="007463A7" w:rsidRPr="00855517" w:rsidTr="00855517">
        <w:tc>
          <w:tcPr>
            <w:tcW w:w="1530" w:type="dxa"/>
            <w:tcBorders>
              <w:bottom w:val="single" w:sz="4" w:space="0" w:color="auto"/>
            </w:tcBorders>
            <w:shd w:val="clear" w:color="auto" w:fill="D9D9D9" w:themeFill="background1" w:themeFillShade="D9"/>
          </w:tcPr>
          <w:p w:rsidR="007463A7" w:rsidRPr="00855517" w:rsidRDefault="007463A7" w:rsidP="00600BEB">
            <w:pPr>
              <w:jc w:val="center"/>
              <w:rPr>
                <w:rFonts w:ascii="Arial" w:hAnsi="Arial" w:cs="Arial"/>
                <w:b/>
                <w:sz w:val="20"/>
                <w:szCs w:val="20"/>
              </w:rPr>
            </w:pPr>
            <w:r w:rsidRPr="00855517">
              <w:rPr>
                <w:rFonts w:ascii="Arial" w:hAnsi="Arial" w:cs="Arial"/>
                <w:b/>
                <w:sz w:val="20"/>
                <w:szCs w:val="20"/>
              </w:rPr>
              <w:t>Phase</w:t>
            </w:r>
          </w:p>
        </w:tc>
        <w:tc>
          <w:tcPr>
            <w:tcW w:w="1710" w:type="dxa"/>
            <w:tcBorders>
              <w:bottom w:val="single" w:sz="4" w:space="0" w:color="auto"/>
            </w:tcBorders>
            <w:shd w:val="clear" w:color="auto" w:fill="D9D9D9" w:themeFill="background1" w:themeFillShade="D9"/>
          </w:tcPr>
          <w:p w:rsidR="007463A7" w:rsidRPr="00855517" w:rsidRDefault="007463A7" w:rsidP="00600BEB">
            <w:pPr>
              <w:jc w:val="center"/>
              <w:rPr>
                <w:rFonts w:ascii="Arial" w:hAnsi="Arial" w:cs="Arial"/>
                <w:b/>
                <w:sz w:val="20"/>
                <w:szCs w:val="20"/>
              </w:rPr>
            </w:pPr>
            <w:r w:rsidRPr="00855517">
              <w:rPr>
                <w:rFonts w:ascii="Arial" w:hAnsi="Arial" w:cs="Arial"/>
                <w:b/>
                <w:sz w:val="20"/>
                <w:szCs w:val="20"/>
              </w:rPr>
              <w:t>Scope of action</w:t>
            </w:r>
          </w:p>
        </w:tc>
        <w:tc>
          <w:tcPr>
            <w:tcW w:w="6300" w:type="dxa"/>
            <w:tcBorders>
              <w:bottom w:val="single" w:sz="4" w:space="0" w:color="auto"/>
            </w:tcBorders>
            <w:shd w:val="clear" w:color="auto" w:fill="D9D9D9" w:themeFill="background1" w:themeFillShade="D9"/>
          </w:tcPr>
          <w:p w:rsidR="007463A7" w:rsidRPr="00855517" w:rsidRDefault="007463A7" w:rsidP="00600BEB">
            <w:pPr>
              <w:jc w:val="center"/>
              <w:rPr>
                <w:rFonts w:ascii="Arial" w:hAnsi="Arial" w:cs="Arial"/>
                <w:b/>
                <w:sz w:val="20"/>
                <w:szCs w:val="20"/>
              </w:rPr>
            </w:pPr>
            <w:r w:rsidRPr="00855517">
              <w:rPr>
                <w:rFonts w:ascii="Arial" w:hAnsi="Arial" w:cs="Arial"/>
                <w:b/>
                <w:sz w:val="20"/>
                <w:szCs w:val="20"/>
              </w:rPr>
              <w:t>Specific WASH examples</w:t>
            </w:r>
          </w:p>
        </w:tc>
      </w:tr>
      <w:tr w:rsidR="00855517" w:rsidRPr="00345156" w:rsidTr="00855517">
        <w:tc>
          <w:tcPr>
            <w:tcW w:w="1530" w:type="dxa"/>
            <w:vMerge w:val="restart"/>
            <w:tcBorders>
              <w:top w:val="single" w:sz="4" w:space="0" w:color="auto"/>
              <w:bottom w:val="single" w:sz="4" w:space="0" w:color="auto"/>
            </w:tcBorders>
          </w:tcPr>
          <w:p w:rsidR="00855517" w:rsidRPr="00345156" w:rsidRDefault="00855517" w:rsidP="00345156">
            <w:pPr>
              <w:jc w:val="both"/>
              <w:rPr>
                <w:rFonts w:ascii="Arial" w:hAnsi="Arial" w:cs="Arial"/>
                <w:sz w:val="20"/>
                <w:szCs w:val="20"/>
              </w:rPr>
            </w:pPr>
            <w:r w:rsidRPr="00345156">
              <w:rPr>
                <w:rFonts w:ascii="Arial" w:hAnsi="Arial" w:cs="Arial"/>
                <w:sz w:val="20"/>
                <w:szCs w:val="20"/>
              </w:rPr>
              <w:t>Recovery and reconstruction</w:t>
            </w:r>
          </w:p>
        </w:tc>
        <w:tc>
          <w:tcPr>
            <w:tcW w:w="1710" w:type="dxa"/>
            <w:tcBorders>
              <w:top w:val="single" w:sz="4" w:space="0" w:color="auto"/>
              <w:bottom w:val="single" w:sz="4" w:space="0" w:color="auto"/>
            </w:tcBorders>
          </w:tcPr>
          <w:p w:rsidR="00855517" w:rsidRPr="00345156" w:rsidRDefault="00855517" w:rsidP="00345156">
            <w:pPr>
              <w:jc w:val="both"/>
              <w:rPr>
                <w:rFonts w:ascii="Arial" w:hAnsi="Arial" w:cs="Arial"/>
                <w:sz w:val="20"/>
                <w:szCs w:val="20"/>
              </w:rPr>
            </w:pPr>
            <w:r w:rsidRPr="00345156">
              <w:rPr>
                <w:rFonts w:ascii="Arial" w:hAnsi="Arial" w:cs="Arial"/>
                <w:sz w:val="20"/>
                <w:szCs w:val="20"/>
              </w:rPr>
              <w:t>Mitigation and prevention</w:t>
            </w:r>
          </w:p>
        </w:tc>
        <w:tc>
          <w:tcPr>
            <w:tcW w:w="6300" w:type="dxa"/>
            <w:tcBorders>
              <w:top w:val="single" w:sz="4" w:space="0" w:color="auto"/>
              <w:bottom w:val="single" w:sz="4" w:space="0" w:color="auto"/>
            </w:tcBorders>
          </w:tcPr>
          <w:p w:rsidR="00855517" w:rsidRPr="00345156" w:rsidRDefault="00855517" w:rsidP="00345156">
            <w:pPr>
              <w:jc w:val="both"/>
              <w:rPr>
                <w:rFonts w:ascii="Arial" w:hAnsi="Arial" w:cs="Arial"/>
                <w:sz w:val="20"/>
                <w:szCs w:val="20"/>
              </w:rPr>
            </w:pPr>
            <w:r w:rsidRPr="00345156">
              <w:rPr>
                <w:rFonts w:ascii="Arial" w:hAnsi="Arial" w:cs="Arial"/>
                <w:b/>
                <w:sz w:val="20"/>
                <w:szCs w:val="20"/>
              </w:rPr>
              <w:t>Risk likelihood reduction:</w:t>
            </w:r>
            <w:r w:rsidRPr="00345156">
              <w:rPr>
                <w:rFonts w:ascii="Arial" w:hAnsi="Arial" w:cs="Arial"/>
                <w:sz w:val="20"/>
                <w:szCs w:val="20"/>
              </w:rPr>
              <w:t xml:space="preserve"> installation of dikes and levees, </w:t>
            </w:r>
            <w:r>
              <w:rPr>
                <w:rFonts w:ascii="Arial" w:hAnsi="Arial" w:cs="Arial"/>
                <w:sz w:val="20"/>
                <w:szCs w:val="20"/>
              </w:rPr>
              <w:t xml:space="preserve">gully protection and rehabilitation, </w:t>
            </w:r>
            <w:r w:rsidRPr="00345156">
              <w:rPr>
                <w:rFonts w:ascii="Arial" w:hAnsi="Arial" w:cs="Arial"/>
                <w:sz w:val="20"/>
                <w:szCs w:val="20"/>
              </w:rPr>
              <w:t xml:space="preserve">construction of </w:t>
            </w:r>
            <w:r>
              <w:rPr>
                <w:rFonts w:ascii="Arial" w:hAnsi="Arial" w:cs="Arial"/>
                <w:sz w:val="20"/>
                <w:szCs w:val="20"/>
              </w:rPr>
              <w:t>flood</w:t>
            </w:r>
            <w:r w:rsidRPr="00345156">
              <w:rPr>
                <w:rFonts w:ascii="Arial" w:hAnsi="Arial" w:cs="Arial"/>
                <w:sz w:val="20"/>
                <w:szCs w:val="20"/>
              </w:rPr>
              <w:t xml:space="preserve"> water drainage systems, </w:t>
            </w:r>
            <w:r>
              <w:rPr>
                <w:rFonts w:ascii="Arial" w:hAnsi="Arial" w:cs="Arial"/>
                <w:sz w:val="20"/>
                <w:szCs w:val="20"/>
              </w:rPr>
              <w:t xml:space="preserve">multi-purpose reservoirs and sand storage dams, </w:t>
            </w:r>
            <w:r w:rsidRPr="00345156">
              <w:rPr>
                <w:rFonts w:ascii="Arial" w:hAnsi="Arial" w:cs="Arial"/>
                <w:sz w:val="20"/>
                <w:szCs w:val="20"/>
              </w:rPr>
              <w:t>reforestation of hills at risk of landslides</w:t>
            </w:r>
          </w:p>
          <w:p w:rsidR="00855517" w:rsidRPr="00345156" w:rsidRDefault="00855517" w:rsidP="00345156">
            <w:pPr>
              <w:jc w:val="both"/>
              <w:rPr>
                <w:rFonts w:ascii="Arial" w:hAnsi="Arial" w:cs="Arial"/>
                <w:sz w:val="20"/>
                <w:szCs w:val="20"/>
              </w:rPr>
            </w:pPr>
            <w:r w:rsidRPr="00345156">
              <w:rPr>
                <w:rFonts w:ascii="Arial" w:hAnsi="Arial" w:cs="Arial"/>
                <w:b/>
                <w:sz w:val="20"/>
                <w:szCs w:val="20"/>
              </w:rPr>
              <w:t>Risk Consequence reduction:</w:t>
            </w:r>
            <w:r w:rsidRPr="00345156">
              <w:rPr>
                <w:rFonts w:ascii="Arial" w:hAnsi="Arial" w:cs="Arial"/>
                <w:sz w:val="20"/>
                <w:szCs w:val="20"/>
              </w:rPr>
              <w:t xml:space="preserve"> enlargement of drainage channels, </w:t>
            </w:r>
            <w:r>
              <w:rPr>
                <w:rFonts w:ascii="Arial" w:hAnsi="Arial" w:cs="Arial"/>
                <w:sz w:val="20"/>
                <w:szCs w:val="20"/>
              </w:rPr>
              <w:t xml:space="preserve">selection of safe location for (re)construction, </w:t>
            </w:r>
            <w:r w:rsidRPr="00345156">
              <w:rPr>
                <w:rFonts w:ascii="Arial" w:hAnsi="Arial" w:cs="Arial"/>
                <w:sz w:val="20"/>
                <w:szCs w:val="20"/>
              </w:rPr>
              <w:t>flood resistant WASH infrastructures</w:t>
            </w:r>
            <w:r>
              <w:rPr>
                <w:rFonts w:ascii="Arial" w:hAnsi="Arial" w:cs="Arial"/>
                <w:sz w:val="20"/>
                <w:szCs w:val="20"/>
              </w:rPr>
              <w:t xml:space="preserve"> (improving resilience of wells and ponds, raised pit latrines; sceptic tanks)</w:t>
            </w:r>
            <w:r w:rsidRPr="00345156">
              <w:rPr>
                <w:rFonts w:ascii="Arial" w:hAnsi="Arial" w:cs="Arial"/>
                <w:sz w:val="20"/>
                <w:szCs w:val="20"/>
              </w:rPr>
              <w:t>, hygiene promotion and public awareness</w:t>
            </w:r>
            <w:r>
              <w:rPr>
                <w:rFonts w:ascii="Arial" w:hAnsi="Arial" w:cs="Arial"/>
                <w:sz w:val="20"/>
                <w:szCs w:val="20"/>
              </w:rPr>
              <w:t>, risk-informed water safety planning, small-scale biological systems, rainwater harvesting technologies and water conservation, participatory water quality testing</w:t>
            </w:r>
          </w:p>
          <w:p w:rsidR="00855517" w:rsidRPr="00345156" w:rsidRDefault="00855517" w:rsidP="00345156">
            <w:pPr>
              <w:jc w:val="both"/>
              <w:rPr>
                <w:rFonts w:ascii="Arial" w:hAnsi="Arial" w:cs="Arial"/>
                <w:sz w:val="20"/>
                <w:szCs w:val="20"/>
              </w:rPr>
            </w:pPr>
            <w:r w:rsidRPr="00345156">
              <w:rPr>
                <w:rFonts w:ascii="Arial" w:hAnsi="Arial" w:cs="Arial"/>
                <w:b/>
                <w:sz w:val="20"/>
                <w:szCs w:val="20"/>
              </w:rPr>
              <w:t>Risk avoidance:</w:t>
            </w:r>
            <w:r w:rsidRPr="00345156">
              <w:rPr>
                <w:rFonts w:ascii="Arial" w:hAnsi="Arial" w:cs="Arial"/>
                <w:sz w:val="20"/>
                <w:szCs w:val="20"/>
              </w:rPr>
              <w:t xml:space="preserve"> adequate land use planning and management, relocation of HH and WASH facilities</w:t>
            </w:r>
          </w:p>
        </w:tc>
      </w:tr>
      <w:tr w:rsidR="00855517" w:rsidRPr="00345156" w:rsidTr="00855517">
        <w:tc>
          <w:tcPr>
            <w:tcW w:w="1530" w:type="dxa"/>
            <w:vMerge/>
            <w:tcBorders>
              <w:top w:val="single" w:sz="4" w:space="0" w:color="auto"/>
            </w:tcBorders>
          </w:tcPr>
          <w:p w:rsidR="00855517" w:rsidRPr="00345156" w:rsidRDefault="00855517" w:rsidP="00345156">
            <w:pPr>
              <w:jc w:val="both"/>
              <w:rPr>
                <w:rFonts w:ascii="Arial" w:hAnsi="Arial" w:cs="Arial"/>
                <w:sz w:val="20"/>
                <w:szCs w:val="20"/>
              </w:rPr>
            </w:pPr>
          </w:p>
        </w:tc>
        <w:tc>
          <w:tcPr>
            <w:tcW w:w="1710" w:type="dxa"/>
            <w:tcBorders>
              <w:top w:val="single" w:sz="4" w:space="0" w:color="auto"/>
              <w:bottom w:val="single" w:sz="4" w:space="0" w:color="auto"/>
            </w:tcBorders>
          </w:tcPr>
          <w:p w:rsidR="00855517" w:rsidRPr="00345156" w:rsidRDefault="00855517" w:rsidP="00345156">
            <w:pPr>
              <w:jc w:val="both"/>
              <w:rPr>
                <w:rFonts w:ascii="Arial" w:hAnsi="Arial" w:cs="Arial"/>
                <w:sz w:val="20"/>
                <w:szCs w:val="20"/>
              </w:rPr>
            </w:pPr>
            <w:r w:rsidRPr="00345156">
              <w:rPr>
                <w:rFonts w:ascii="Arial" w:hAnsi="Arial" w:cs="Arial"/>
                <w:sz w:val="20"/>
                <w:szCs w:val="20"/>
              </w:rPr>
              <w:t>Preparedness</w:t>
            </w:r>
          </w:p>
        </w:tc>
        <w:tc>
          <w:tcPr>
            <w:tcW w:w="6300" w:type="dxa"/>
            <w:tcBorders>
              <w:top w:val="single" w:sz="4" w:space="0" w:color="auto"/>
              <w:bottom w:val="single" w:sz="4" w:space="0" w:color="auto"/>
            </w:tcBorders>
          </w:tcPr>
          <w:p w:rsidR="00855517" w:rsidRPr="00345156" w:rsidRDefault="00855517" w:rsidP="00345156">
            <w:pPr>
              <w:jc w:val="both"/>
              <w:rPr>
                <w:rFonts w:ascii="Arial" w:hAnsi="Arial" w:cs="Arial"/>
                <w:b/>
                <w:sz w:val="20"/>
                <w:szCs w:val="20"/>
              </w:rPr>
            </w:pPr>
            <w:r w:rsidRPr="00345156">
              <w:rPr>
                <w:rFonts w:ascii="Arial" w:hAnsi="Arial" w:cs="Arial"/>
                <w:b/>
                <w:sz w:val="20"/>
                <w:szCs w:val="20"/>
              </w:rPr>
              <w:t>Early warning systems</w:t>
            </w:r>
          </w:p>
          <w:p w:rsidR="00855517" w:rsidRPr="00345156" w:rsidRDefault="00855517" w:rsidP="00345156">
            <w:pPr>
              <w:jc w:val="both"/>
              <w:rPr>
                <w:rFonts w:ascii="Arial" w:hAnsi="Arial" w:cs="Arial"/>
                <w:sz w:val="20"/>
                <w:szCs w:val="20"/>
              </w:rPr>
            </w:pPr>
            <w:r w:rsidRPr="00345156">
              <w:rPr>
                <w:rFonts w:ascii="Arial" w:hAnsi="Arial" w:cs="Arial"/>
                <w:b/>
                <w:sz w:val="20"/>
                <w:szCs w:val="20"/>
              </w:rPr>
              <w:t>Preparation for WASH response:</w:t>
            </w:r>
            <w:r w:rsidRPr="00345156">
              <w:rPr>
                <w:rFonts w:ascii="Arial" w:hAnsi="Arial" w:cs="Arial"/>
                <w:sz w:val="20"/>
                <w:szCs w:val="20"/>
              </w:rPr>
              <w:t xml:space="preserve"> contingency planning, formation of WASH response teams, capacity-building of Government counterparts, prepositioning of WASH supplies, WASH-related public awareness</w:t>
            </w:r>
          </w:p>
          <w:p w:rsidR="00855517" w:rsidRPr="00345156" w:rsidRDefault="00855517" w:rsidP="00345156">
            <w:pPr>
              <w:jc w:val="both"/>
              <w:rPr>
                <w:rFonts w:ascii="Arial" w:hAnsi="Arial" w:cs="Arial"/>
                <w:sz w:val="20"/>
                <w:szCs w:val="20"/>
              </w:rPr>
            </w:pPr>
            <w:r w:rsidRPr="00345156">
              <w:rPr>
                <w:rFonts w:ascii="Arial" w:hAnsi="Arial" w:cs="Arial"/>
                <w:b/>
                <w:sz w:val="20"/>
                <w:szCs w:val="20"/>
              </w:rPr>
              <w:t>Preparation for recovery:</w:t>
            </w:r>
            <w:r w:rsidRPr="00345156">
              <w:rPr>
                <w:rFonts w:ascii="Arial" w:hAnsi="Arial" w:cs="Arial"/>
                <w:sz w:val="20"/>
                <w:szCs w:val="20"/>
              </w:rPr>
              <w:t xml:space="preserve"> capacity building in WASH damage assessment, capacity building in resilient reconstruction methods, preparation for disposal of debris, prepositioning of reconstruction materials</w:t>
            </w:r>
          </w:p>
        </w:tc>
      </w:tr>
      <w:tr w:rsidR="00855517" w:rsidRPr="00345156" w:rsidTr="00855517">
        <w:trPr>
          <w:trHeight w:val="1115"/>
        </w:trPr>
        <w:tc>
          <w:tcPr>
            <w:tcW w:w="1530" w:type="dxa"/>
            <w:vMerge/>
          </w:tcPr>
          <w:p w:rsidR="00855517" w:rsidRPr="00345156" w:rsidRDefault="00855517" w:rsidP="00345156">
            <w:pPr>
              <w:jc w:val="both"/>
              <w:rPr>
                <w:rFonts w:ascii="Arial" w:hAnsi="Arial" w:cs="Arial"/>
                <w:sz w:val="20"/>
                <w:szCs w:val="20"/>
              </w:rPr>
            </w:pPr>
          </w:p>
        </w:tc>
        <w:tc>
          <w:tcPr>
            <w:tcW w:w="1710" w:type="dxa"/>
            <w:tcBorders>
              <w:top w:val="single" w:sz="4" w:space="0" w:color="auto"/>
              <w:bottom w:val="single" w:sz="4" w:space="0" w:color="auto"/>
            </w:tcBorders>
          </w:tcPr>
          <w:p w:rsidR="00855517" w:rsidRPr="00345156" w:rsidRDefault="00855517" w:rsidP="00345156">
            <w:pPr>
              <w:jc w:val="both"/>
              <w:rPr>
                <w:rFonts w:ascii="Arial" w:hAnsi="Arial" w:cs="Arial"/>
                <w:sz w:val="20"/>
                <w:szCs w:val="20"/>
              </w:rPr>
            </w:pPr>
            <w:r w:rsidRPr="00345156">
              <w:rPr>
                <w:rFonts w:ascii="Arial" w:hAnsi="Arial" w:cs="Arial"/>
                <w:sz w:val="20"/>
                <w:szCs w:val="20"/>
              </w:rPr>
              <w:t>Enabling environment</w:t>
            </w:r>
          </w:p>
        </w:tc>
        <w:tc>
          <w:tcPr>
            <w:tcW w:w="6300" w:type="dxa"/>
            <w:tcBorders>
              <w:top w:val="single" w:sz="4" w:space="0" w:color="auto"/>
              <w:bottom w:val="single" w:sz="4" w:space="0" w:color="auto"/>
            </w:tcBorders>
          </w:tcPr>
          <w:p w:rsidR="00855517" w:rsidRPr="00345156" w:rsidRDefault="00855517" w:rsidP="00345156">
            <w:pPr>
              <w:jc w:val="both"/>
              <w:rPr>
                <w:rFonts w:ascii="Arial" w:hAnsi="Arial" w:cs="Arial"/>
                <w:sz w:val="20"/>
                <w:szCs w:val="20"/>
              </w:rPr>
            </w:pPr>
            <w:r w:rsidRPr="00345156">
              <w:rPr>
                <w:rFonts w:ascii="Arial" w:hAnsi="Arial" w:cs="Arial"/>
                <w:sz w:val="20"/>
                <w:szCs w:val="20"/>
              </w:rPr>
              <w:t xml:space="preserve">Systematic risk assessments prior to WASH interventions </w:t>
            </w:r>
          </w:p>
          <w:p w:rsidR="00855517" w:rsidRPr="00345156" w:rsidRDefault="00855517" w:rsidP="00345156">
            <w:pPr>
              <w:jc w:val="both"/>
              <w:rPr>
                <w:rFonts w:ascii="Arial" w:hAnsi="Arial" w:cs="Arial"/>
                <w:sz w:val="20"/>
                <w:szCs w:val="20"/>
              </w:rPr>
            </w:pPr>
            <w:r w:rsidRPr="00345156">
              <w:rPr>
                <w:rFonts w:ascii="Arial" w:hAnsi="Arial" w:cs="Arial"/>
                <w:sz w:val="20"/>
                <w:szCs w:val="20"/>
              </w:rPr>
              <w:t>WASH coordination platforms at national and local levels</w:t>
            </w:r>
          </w:p>
          <w:p w:rsidR="00855517" w:rsidRPr="00345156" w:rsidRDefault="00855517" w:rsidP="00345156">
            <w:pPr>
              <w:jc w:val="both"/>
              <w:rPr>
                <w:rFonts w:ascii="Arial" w:hAnsi="Arial" w:cs="Arial"/>
                <w:sz w:val="20"/>
                <w:szCs w:val="20"/>
              </w:rPr>
            </w:pPr>
            <w:r w:rsidRPr="00345156">
              <w:rPr>
                <w:rFonts w:ascii="Arial" w:hAnsi="Arial" w:cs="Arial"/>
                <w:sz w:val="20"/>
                <w:szCs w:val="20"/>
              </w:rPr>
              <w:t>Integration of DRR issues in WASH strategies and plans</w:t>
            </w:r>
          </w:p>
          <w:p w:rsidR="00855517" w:rsidRPr="00345156" w:rsidRDefault="00855517" w:rsidP="00345156">
            <w:pPr>
              <w:jc w:val="both"/>
              <w:rPr>
                <w:rFonts w:ascii="Arial" w:hAnsi="Arial" w:cs="Arial"/>
                <w:sz w:val="20"/>
                <w:szCs w:val="20"/>
              </w:rPr>
            </w:pPr>
            <w:r w:rsidRPr="00345156">
              <w:rPr>
                <w:rFonts w:ascii="Arial" w:hAnsi="Arial" w:cs="Arial"/>
                <w:sz w:val="20"/>
                <w:szCs w:val="20"/>
              </w:rPr>
              <w:t>Promotion of integrated water resource management</w:t>
            </w:r>
          </w:p>
        </w:tc>
      </w:tr>
    </w:tbl>
    <w:p w:rsidR="00345156" w:rsidRPr="00600AF4" w:rsidRDefault="007B3C32" w:rsidP="00345156">
      <w:pPr>
        <w:spacing w:after="0" w:line="240" w:lineRule="auto"/>
        <w:jc w:val="both"/>
        <w:rPr>
          <w:rFonts w:ascii="Arial" w:hAnsi="Arial" w:cs="Arial"/>
          <w:i/>
          <w:sz w:val="20"/>
          <w:szCs w:val="20"/>
        </w:rPr>
      </w:pPr>
      <w:r w:rsidRPr="00600AF4">
        <w:rPr>
          <w:rFonts w:ascii="Arial" w:hAnsi="Arial" w:cs="Arial"/>
          <w:i/>
          <w:sz w:val="20"/>
          <w:szCs w:val="20"/>
        </w:rPr>
        <w:t xml:space="preserve">Adapted from Global WASH cluster, DRR and WASH </w:t>
      </w:r>
      <w:r w:rsidR="00600AF4" w:rsidRPr="00600AF4">
        <w:rPr>
          <w:rFonts w:ascii="Arial" w:hAnsi="Arial" w:cs="Arial"/>
          <w:i/>
          <w:sz w:val="20"/>
          <w:szCs w:val="20"/>
        </w:rPr>
        <w:t xml:space="preserve">Comprehensive Guidance </w:t>
      </w:r>
      <w:r w:rsidRPr="00600AF4">
        <w:rPr>
          <w:rFonts w:ascii="Arial" w:hAnsi="Arial" w:cs="Arial"/>
          <w:i/>
          <w:sz w:val="20"/>
          <w:szCs w:val="20"/>
        </w:rPr>
        <w:t>and UNICEF and GWP</w:t>
      </w:r>
      <w:r w:rsidR="0021432B" w:rsidRPr="00600AF4">
        <w:rPr>
          <w:rFonts w:ascii="Arial" w:hAnsi="Arial" w:cs="Arial"/>
          <w:i/>
          <w:sz w:val="20"/>
          <w:szCs w:val="20"/>
        </w:rPr>
        <w:t>, WASH Climate Resilient Development</w:t>
      </w:r>
      <w:r w:rsidR="00600AF4" w:rsidRPr="00600AF4">
        <w:rPr>
          <w:rFonts w:ascii="Arial" w:hAnsi="Arial" w:cs="Arial"/>
          <w:i/>
          <w:sz w:val="20"/>
          <w:szCs w:val="20"/>
        </w:rPr>
        <w:t>, Strategic Framework.</w:t>
      </w:r>
    </w:p>
    <w:p w:rsidR="007B3C32" w:rsidRDefault="007B3C32" w:rsidP="00345156">
      <w:pPr>
        <w:spacing w:after="0" w:line="240" w:lineRule="auto"/>
        <w:jc w:val="both"/>
        <w:rPr>
          <w:rFonts w:ascii="Arial" w:hAnsi="Arial" w:cs="Arial"/>
          <w:noProof/>
          <w:sz w:val="20"/>
          <w:szCs w:val="20"/>
          <w:lang w:val="en-US"/>
        </w:rPr>
      </w:pPr>
    </w:p>
    <w:p w:rsidR="00600BEB" w:rsidRPr="00914CC2" w:rsidRDefault="00600BEB" w:rsidP="00345156">
      <w:pPr>
        <w:spacing w:after="0" w:line="240" w:lineRule="auto"/>
        <w:jc w:val="both"/>
        <w:rPr>
          <w:rFonts w:ascii="Arial" w:hAnsi="Arial" w:cs="Arial"/>
          <w:b/>
          <w:noProof/>
          <w:sz w:val="20"/>
          <w:szCs w:val="20"/>
          <w:lang w:val="en-US"/>
        </w:rPr>
      </w:pPr>
      <w:r w:rsidRPr="00914CC2">
        <w:rPr>
          <w:rFonts w:ascii="Arial" w:hAnsi="Arial" w:cs="Arial"/>
          <w:b/>
          <w:noProof/>
          <w:sz w:val="20"/>
          <w:szCs w:val="20"/>
          <w:lang w:val="en-US"/>
        </w:rPr>
        <w:t xml:space="preserve">Hazard-specific </w:t>
      </w:r>
      <w:r w:rsidR="00641A1C" w:rsidRPr="00914CC2">
        <w:rPr>
          <w:rFonts w:ascii="Arial" w:hAnsi="Arial" w:cs="Arial"/>
          <w:b/>
          <w:noProof/>
          <w:sz w:val="20"/>
          <w:szCs w:val="20"/>
          <w:lang w:val="en-US"/>
        </w:rPr>
        <w:t>guidance</w:t>
      </w:r>
    </w:p>
    <w:p w:rsidR="00600BEB" w:rsidRDefault="00600BEB" w:rsidP="00345156">
      <w:pPr>
        <w:spacing w:after="0" w:line="240" w:lineRule="auto"/>
        <w:jc w:val="both"/>
        <w:rPr>
          <w:rFonts w:ascii="Arial" w:hAnsi="Arial" w:cs="Arial"/>
          <w:noProof/>
          <w:sz w:val="20"/>
          <w:szCs w:val="20"/>
          <w:lang w:val="en-US"/>
        </w:rPr>
      </w:pPr>
    </w:p>
    <w:tbl>
      <w:tblPr>
        <w:tblStyle w:val="TableGrid"/>
        <w:tblW w:w="9540" w:type="dxa"/>
        <w:tblInd w:w="-2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010"/>
      </w:tblGrid>
      <w:tr w:rsidR="00C1064D" w:rsidTr="00914CC2">
        <w:tc>
          <w:tcPr>
            <w:tcW w:w="1530" w:type="dxa"/>
            <w:vMerge w:val="restart"/>
            <w:tcBorders>
              <w:top w:val="single" w:sz="4" w:space="0" w:color="auto"/>
              <w:bottom w:val="single" w:sz="4" w:space="0" w:color="auto"/>
            </w:tcBorders>
          </w:tcPr>
          <w:p w:rsidR="00C1064D" w:rsidRPr="00C1064D" w:rsidRDefault="00C1064D" w:rsidP="00345156">
            <w:pPr>
              <w:jc w:val="both"/>
              <w:rPr>
                <w:rFonts w:ascii="Arial" w:hAnsi="Arial" w:cs="Arial"/>
                <w:b/>
                <w:noProof/>
                <w:sz w:val="20"/>
                <w:szCs w:val="20"/>
                <w:lang w:val="en-US"/>
              </w:rPr>
            </w:pPr>
            <w:r w:rsidRPr="00C1064D">
              <w:rPr>
                <w:rFonts w:ascii="Arial" w:hAnsi="Arial" w:cs="Arial"/>
                <w:b/>
                <w:noProof/>
                <w:sz w:val="20"/>
                <w:szCs w:val="20"/>
                <w:lang w:val="en-US"/>
              </w:rPr>
              <w:t>Landslides</w:t>
            </w:r>
          </w:p>
        </w:tc>
        <w:tc>
          <w:tcPr>
            <w:tcW w:w="8010" w:type="dxa"/>
            <w:tcBorders>
              <w:top w:val="single" w:sz="4" w:space="0" w:color="auto"/>
              <w:bottom w:val="single" w:sz="4" w:space="0" w:color="auto"/>
            </w:tcBorders>
          </w:tcPr>
          <w:p w:rsidR="00C1064D" w:rsidRPr="00641A1C" w:rsidRDefault="00C1064D" w:rsidP="00345156">
            <w:pPr>
              <w:jc w:val="both"/>
              <w:rPr>
                <w:rFonts w:ascii="Arial" w:hAnsi="Arial" w:cs="Arial"/>
                <w:b/>
                <w:noProof/>
                <w:sz w:val="20"/>
                <w:szCs w:val="20"/>
                <w:lang w:val="en-US"/>
              </w:rPr>
            </w:pPr>
            <w:r w:rsidRPr="00641A1C">
              <w:rPr>
                <w:rFonts w:ascii="Arial" w:hAnsi="Arial" w:cs="Arial"/>
                <w:b/>
                <w:noProof/>
                <w:sz w:val="20"/>
                <w:szCs w:val="20"/>
                <w:lang w:val="en-US"/>
              </w:rPr>
              <w:t>Infrastructures</w:t>
            </w:r>
          </w:p>
          <w:p w:rsidR="00C1064D" w:rsidRDefault="00C1064D" w:rsidP="00DB5EEA">
            <w:pPr>
              <w:jc w:val="both"/>
              <w:rPr>
                <w:rFonts w:ascii="Arial" w:hAnsi="Arial" w:cs="Arial"/>
                <w:noProof/>
                <w:sz w:val="20"/>
                <w:szCs w:val="20"/>
                <w:lang w:val="en-US"/>
              </w:rPr>
            </w:pPr>
            <w:r w:rsidRPr="00C1064D">
              <w:rPr>
                <w:rFonts w:ascii="Arial" w:hAnsi="Arial" w:cs="Arial"/>
                <w:noProof/>
                <w:sz w:val="20"/>
                <w:szCs w:val="20"/>
                <w:u w:val="single"/>
                <w:lang w:val="en-US"/>
              </w:rPr>
              <w:t>Location:</w:t>
            </w:r>
            <w:r>
              <w:rPr>
                <w:rFonts w:ascii="Arial" w:hAnsi="Arial" w:cs="Arial"/>
                <w:noProof/>
                <w:sz w:val="20"/>
                <w:szCs w:val="20"/>
                <w:lang w:val="en-US"/>
              </w:rPr>
              <w:t xml:space="preserve"> identify and map risk areas; avoid spots in unconsolidated soils in inclined terrain, or points below deforested areas; avoid areas close to natural drainage channels; </w:t>
            </w:r>
            <w:r>
              <w:rPr>
                <w:rFonts w:ascii="Arial" w:hAnsi="Arial" w:cs="Arial"/>
                <w:noProof/>
                <w:sz w:val="20"/>
                <w:szCs w:val="20"/>
                <w:lang w:val="en-US"/>
              </w:rPr>
              <w:lastRenderedPageBreak/>
              <w:t>install structures on soils with adequate load-bearing capacity; choose an accessible location; relocate services that are at risk of mass movement</w:t>
            </w:r>
          </w:p>
          <w:p w:rsidR="00C1064D" w:rsidRDefault="00C1064D" w:rsidP="00DB5EEA">
            <w:pPr>
              <w:jc w:val="both"/>
              <w:rPr>
                <w:rFonts w:ascii="Arial" w:hAnsi="Arial" w:cs="Arial"/>
                <w:noProof/>
                <w:sz w:val="20"/>
                <w:szCs w:val="20"/>
                <w:lang w:val="en-US"/>
              </w:rPr>
            </w:pPr>
            <w:r w:rsidRPr="00C1064D">
              <w:rPr>
                <w:rFonts w:ascii="Arial" w:hAnsi="Arial" w:cs="Arial"/>
                <w:noProof/>
                <w:sz w:val="20"/>
                <w:szCs w:val="20"/>
                <w:u w:val="single"/>
                <w:lang w:val="en-US"/>
              </w:rPr>
              <w:t>Materials:</w:t>
            </w:r>
            <w:r>
              <w:rPr>
                <w:rFonts w:ascii="Arial" w:hAnsi="Arial" w:cs="Arial"/>
                <w:noProof/>
                <w:sz w:val="20"/>
                <w:szCs w:val="20"/>
                <w:lang w:val="en-US"/>
              </w:rPr>
              <w:t xml:space="preserve"> use materials that resist to some extent the effects of mass movements e.g. resistant pipe materials, in some places, flexible piping may be more adequate; use high strength quality components</w:t>
            </w:r>
          </w:p>
          <w:p w:rsidR="00C1064D" w:rsidRDefault="00C1064D" w:rsidP="00DB5EEA">
            <w:pPr>
              <w:jc w:val="both"/>
              <w:rPr>
                <w:rFonts w:ascii="Arial" w:hAnsi="Arial" w:cs="Arial"/>
                <w:noProof/>
                <w:sz w:val="20"/>
                <w:szCs w:val="20"/>
                <w:lang w:val="en-US"/>
              </w:rPr>
            </w:pPr>
            <w:r w:rsidRPr="00C1064D">
              <w:rPr>
                <w:rFonts w:ascii="Arial" w:hAnsi="Arial" w:cs="Arial"/>
                <w:noProof/>
                <w:sz w:val="20"/>
                <w:szCs w:val="20"/>
                <w:u w:val="single"/>
                <w:lang w:val="en-US"/>
              </w:rPr>
              <w:t>Construction:</w:t>
            </w:r>
            <w:r>
              <w:rPr>
                <w:rFonts w:ascii="Arial" w:hAnsi="Arial" w:cs="Arial"/>
                <w:noProof/>
                <w:sz w:val="20"/>
                <w:szCs w:val="20"/>
                <w:lang w:val="en-US"/>
              </w:rPr>
              <w:t xml:space="preserve"> construct, install so as to resist the effects of landslides, e.g. bridge pipes over zones at risk or lay pipes in solid rock; install pipe anchors in solid soil close to areas at risk; backfill and compact trenches; minimise the risks of blockage of intakes and overflows to artificial reservoirs</w:t>
            </w:r>
          </w:p>
          <w:p w:rsidR="00C1064D" w:rsidRDefault="00C1064D" w:rsidP="00DB5EEA">
            <w:pPr>
              <w:jc w:val="both"/>
              <w:rPr>
                <w:rFonts w:ascii="Arial" w:hAnsi="Arial" w:cs="Arial"/>
                <w:noProof/>
                <w:sz w:val="20"/>
                <w:szCs w:val="20"/>
                <w:lang w:val="en-US"/>
              </w:rPr>
            </w:pPr>
            <w:r w:rsidRPr="00C1064D">
              <w:rPr>
                <w:rFonts w:ascii="Arial" w:hAnsi="Arial" w:cs="Arial"/>
                <w:noProof/>
                <w:sz w:val="20"/>
                <w:szCs w:val="20"/>
                <w:u w:val="single"/>
                <w:lang w:val="en-US"/>
              </w:rPr>
              <w:t>Consolidation of risk areas:</w:t>
            </w:r>
            <w:r>
              <w:rPr>
                <w:rFonts w:ascii="Arial" w:hAnsi="Arial" w:cs="Arial"/>
                <w:noProof/>
                <w:sz w:val="20"/>
                <w:szCs w:val="20"/>
                <w:lang w:val="en-US"/>
              </w:rPr>
              <w:t xml:space="preserve"> encourage reforestation; build retention structures like rentation walls or gabion structures to consolidate the soils; use terracing</w:t>
            </w:r>
          </w:p>
        </w:tc>
      </w:tr>
      <w:tr w:rsidR="00C1064D" w:rsidTr="00914CC2">
        <w:tc>
          <w:tcPr>
            <w:tcW w:w="1530" w:type="dxa"/>
            <w:vMerge/>
            <w:tcBorders>
              <w:top w:val="single" w:sz="4" w:space="0" w:color="auto"/>
              <w:bottom w:val="single" w:sz="4" w:space="0" w:color="auto"/>
            </w:tcBorders>
          </w:tcPr>
          <w:p w:rsidR="00C1064D" w:rsidRPr="00C1064D" w:rsidRDefault="00C1064D" w:rsidP="00345156">
            <w:pPr>
              <w:jc w:val="both"/>
              <w:rPr>
                <w:rFonts w:ascii="Arial" w:hAnsi="Arial" w:cs="Arial"/>
                <w:b/>
                <w:noProof/>
                <w:sz w:val="20"/>
                <w:szCs w:val="20"/>
                <w:lang w:val="en-US"/>
              </w:rPr>
            </w:pPr>
          </w:p>
        </w:tc>
        <w:tc>
          <w:tcPr>
            <w:tcW w:w="8010" w:type="dxa"/>
            <w:tcBorders>
              <w:top w:val="single" w:sz="4" w:space="0" w:color="auto"/>
              <w:bottom w:val="single" w:sz="4" w:space="0" w:color="auto"/>
            </w:tcBorders>
          </w:tcPr>
          <w:p w:rsidR="00C1064D" w:rsidRPr="00641A1C" w:rsidRDefault="00C1064D" w:rsidP="00345156">
            <w:pPr>
              <w:jc w:val="both"/>
              <w:rPr>
                <w:rFonts w:ascii="Arial" w:hAnsi="Arial" w:cs="Arial"/>
                <w:b/>
                <w:noProof/>
                <w:sz w:val="20"/>
                <w:szCs w:val="20"/>
                <w:lang w:val="en-US"/>
              </w:rPr>
            </w:pPr>
            <w:r w:rsidRPr="00641A1C">
              <w:rPr>
                <w:rFonts w:ascii="Arial" w:hAnsi="Arial" w:cs="Arial"/>
                <w:b/>
                <w:noProof/>
                <w:sz w:val="20"/>
                <w:szCs w:val="20"/>
                <w:lang w:val="en-US"/>
              </w:rPr>
              <w:t>Inputs</w:t>
            </w:r>
          </w:p>
          <w:p w:rsidR="00C1064D" w:rsidRDefault="00C1064D" w:rsidP="00345156">
            <w:pPr>
              <w:jc w:val="both"/>
              <w:rPr>
                <w:rFonts w:ascii="Arial" w:hAnsi="Arial" w:cs="Arial"/>
                <w:noProof/>
                <w:sz w:val="20"/>
                <w:szCs w:val="20"/>
                <w:lang w:val="en-US"/>
              </w:rPr>
            </w:pPr>
            <w:r>
              <w:rPr>
                <w:rFonts w:ascii="Arial" w:hAnsi="Arial" w:cs="Arial"/>
                <w:noProof/>
                <w:sz w:val="20"/>
                <w:szCs w:val="20"/>
                <w:lang w:val="en-US"/>
              </w:rPr>
              <w:t>Design water supply systems so there is capacity to deal with changes in water quality and identify reliable alternafive sources of water</w:t>
            </w:r>
          </w:p>
        </w:tc>
      </w:tr>
      <w:tr w:rsidR="00C1064D" w:rsidTr="00914CC2">
        <w:tc>
          <w:tcPr>
            <w:tcW w:w="1530" w:type="dxa"/>
            <w:vMerge w:val="restart"/>
            <w:tcBorders>
              <w:top w:val="single" w:sz="4" w:space="0" w:color="auto"/>
            </w:tcBorders>
          </w:tcPr>
          <w:p w:rsidR="00C1064D" w:rsidRPr="00C1064D" w:rsidRDefault="00C1064D" w:rsidP="00345156">
            <w:pPr>
              <w:jc w:val="both"/>
              <w:rPr>
                <w:rFonts w:ascii="Arial" w:hAnsi="Arial" w:cs="Arial"/>
                <w:b/>
                <w:noProof/>
                <w:sz w:val="20"/>
                <w:szCs w:val="20"/>
                <w:lang w:val="en-US"/>
              </w:rPr>
            </w:pPr>
            <w:r w:rsidRPr="00C1064D">
              <w:rPr>
                <w:rFonts w:ascii="Arial" w:hAnsi="Arial" w:cs="Arial"/>
                <w:b/>
                <w:noProof/>
                <w:sz w:val="20"/>
                <w:szCs w:val="20"/>
                <w:lang w:val="en-US"/>
              </w:rPr>
              <w:t>Floods</w:t>
            </w:r>
          </w:p>
        </w:tc>
        <w:tc>
          <w:tcPr>
            <w:tcW w:w="8010" w:type="dxa"/>
            <w:tcBorders>
              <w:top w:val="single" w:sz="4" w:space="0" w:color="auto"/>
            </w:tcBorders>
          </w:tcPr>
          <w:p w:rsidR="00C1064D" w:rsidRPr="00641A1C" w:rsidRDefault="00C1064D" w:rsidP="00345156">
            <w:pPr>
              <w:jc w:val="both"/>
              <w:rPr>
                <w:rFonts w:ascii="Arial" w:hAnsi="Arial" w:cs="Arial"/>
                <w:b/>
                <w:noProof/>
                <w:sz w:val="20"/>
                <w:szCs w:val="20"/>
                <w:lang w:val="en-US"/>
              </w:rPr>
            </w:pPr>
            <w:r w:rsidRPr="00641A1C">
              <w:rPr>
                <w:rFonts w:ascii="Arial" w:hAnsi="Arial" w:cs="Arial"/>
                <w:b/>
                <w:noProof/>
                <w:sz w:val="20"/>
                <w:szCs w:val="20"/>
                <w:lang w:val="en-US"/>
              </w:rPr>
              <w:t>Infrastructures</w:t>
            </w:r>
          </w:p>
          <w:p w:rsidR="00C1064D" w:rsidRDefault="00C1064D" w:rsidP="00D04B07">
            <w:pPr>
              <w:jc w:val="both"/>
              <w:rPr>
                <w:rFonts w:ascii="Arial" w:hAnsi="Arial" w:cs="Arial"/>
                <w:noProof/>
                <w:sz w:val="20"/>
                <w:szCs w:val="20"/>
                <w:lang w:val="en-US"/>
              </w:rPr>
            </w:pPr>
            <w:r w:rsidRPr="00C1064D">
              <w:rPr>
                <w:rFonts w:ascii="Arial" w:hAnsi="Arial" w:cs="Arial"/>
                <w:noProof/>
                <w:sz w:val="20"/>
                <w:szCs w:val="20"/>
                <w:u w:val="single"/>
                <w:lang w:val="en-US"/>
              </w:rPr>
              <w:t>Location:</w:t>
            </w:r>
            <w:r>
              <w:rPr>
                <w:rFonts w:ascii="Arial" w:hAnsi="Arial" w:cs="Arial"/>
                <w:noProof/>
                <w:sz w:val="20"/>
                <w:szCs w:val="20"/>
                <w:lang w:val="en-US"/>
              </w:rPr>
              <w:t xml:space="preserve"> identify and map risk areas; avoild low-lying areas and natural drainage paths and channels; avoid unconsolidated soils; avoid coastlines or river banks; install structures on soils with adequate load-bearing capacity; choose an accessible location; relocate services that are at risk of flooding or other secondary hazards</w:t>
            </w:r>
          </w:p>
          <w:p w:rsidR="00C1064D" w:rsidRDefault="00C1064D" w:rsidP="00D04B07">
            <w:pPr>
              <w:jc w:val="both"/>
              <w:rPr>
                <w:rFonts w:ascii="Arial" w:hAnsi="Arial" w:cs="Arial"/>
                <w:noProof/>
                <w:sz w:val="20"/>
                <w:szCs w:val="20"/>
                <w:lang w:val="en-US"/>
              </w:rPr>
            </w:pPr>
            <w:r w:rsidRPr="00C1064D">
              <w:rPr>
                <w:rFonts w:ascii="Arial" w:hAnsi="Arial" w:cs="Arial"/>
                <w:noProof/>
                <w:sz w:val="20"/>
                <w:szCs w:val="20"/>
                <w:u w:val="single"/>
                <w:lang w:val="en-US"/>
              </w:rPr>
              <w:t>Materials:</w:t>
            </w:r>
            <w:r>
              <w:rPr>
                <w:rFonts w:ascii="Arial" w:hAnsi="Arial" w:cs="Arial"/>
                <w:noProof/>
                <w:sz w:val="20"/>
                <w:szCs w:val="20"/>
                <w:lang w:val="en-US"/>
              </w:rPr>
              <w:t xml:space="preserve"> use materials that resist the effects of flooding and erosion, e.g. concerete structures with solid foundations; chosse materials with high strength and high quality components</w:t>
            </w:r>
          </w:p>
          <w:p w:rsidR="00C1064D" w:rsidRDefault="00C1064D" w:rsidP="00D04B07">
            <w:pPr>
              <w:jc w:val="both"/>
              <w:rPr>
                <w:rFonts w:ascii="Arial" w:hAnsi="Arial" w:cs="Arial"/>
                <w:noProof/>
                <w:sz w:val="20"/>
                <w:szCs w:val="20"/>
                <w:lang w:val="en-US"/>
              </w:rPr>
            </w:pPr>
            <w:r w:rsidRPr="00C1064D">
              <w:rPr>
                <w:rFonts w:ascii="Arial" w:hAnsi="Arial" w:cs="Arial"/>
                <w:noProof/>
                <w:sz w:val="20"/>
                <w:szCs w:val="20"/>
                <w:u w:val="single"/>
                <w:lang w:val="en-US"/>
              </w:rPr>
              <w:t>Construction:</w:t>
            </w:r>
            <w:r w:rsidRPr="00DB6644">
              <w:rPr>
                <w:rFonts w:ascii="Arial" w:hAnsi="Arial" w:cs="Arial"/>
                <w:noProof/>
                <w:sz w:val="20"/>
                <w:szCs w:val="20"/>
                <w:lang w:val="en-US"/>
              </w:rPr>
              <w:t xml:space="preserve"> construct</w:t>
            </w:r>
            <w:r>
              <w:rPr>
                <w:rFonts w:ascii="Arial" w:hAnsi="Arial" w:cs="Arial"/>
                <w:noProof/>
                <w:sz w:val="20"/>
                <w:szCs w:val="20"/>
                <w:lang w:val="en-US"/>
              </w:rPr>
              <w:t>/install so that structures resist the effects of flooding, e.g. bridge pipes over natural drainage channels; install pipe anchors in solid soil; build covers for wells, reservoirs, tanks and visit chambers; reinforce wells and ponds; rise structures of at least 0.3 m above the maximum flood level; put electrical installations well above maximum flood level; maintain 24/24 pressure in water distribution systems to avoid entrance of contaminated water or solids; ensure presence of proper sanitary seal in wells and boreholes; place intake structures where they cannot be affected by floating debris; reinforce and brace reservoirs; install swewer backflow valves; make round pit latrines to reduce risk of collapse; line latrine pits; in unconsolidated soils, install a slab round the latrine pit</w:t>
            </w:r>
          </w:p>
        </w:tc>
      </w:tr>
      <w:tr w:rsidR="00C1064D" w:rsidTr="00914CC2">
        <w:tc>
          <w:tcPr>
            <w:tcW w:w="1530" w:type="dxa"/>
            <w:vMerge/>
          </w:tcPr>
          <w:p w:rsidR="00C1064D" w:rsidRDefault="00C1064D" w:rsidP="00345156">
            <w:pPr>
              <w:jc w:val="both"/>
              <w:rPr>
                <w:rFonts w:ascii="Arial" w:hAnsi="Arial" w:cs="Arial"/>
                <w:noProof/>
                <w:sz w:val="20"/>
                <w:szCs w:val="20"/>
                <w:lang w:val="en-US"/>
              </w:rPr>
            </w:pPr>
          </w:p>
        </w:tc>
        <w:tc>
          <w:tcPr>
            <w:tcW w:w="8010" w:type="dxa"/>
          </w:tcPr>
          <w:p w:rsidR="00C1064D" w:rsidRPr="00641A1C" w:rsidRDefault="00C1064D" w:rsidP="00345156">
            <w:pPr>
              <w:jc w:val="both"/>
              <w:rPr>
                <w:rFonts w:ascii="Arial" w:hAnsi="Arial" w:cs="Arial"/>
                <w:b/>
                <w:noProof/>
                <w:sz w:val="20"/>
                <w:szCs w:val="20"/>
                <w:lang w:val="en-US"/>
              </w:rPr>
            </w:pPr>
            <w:r w:rsidRPr="00641A1C">
              <w:rPr>
                <w:rFonts w:ascii="Arial" w:hAnsi="Arial" w:cs="Arial"/>
                <w:b/>
                <w:noProof/>
                <w:sz w:val="20"/>
                <w:szCs w:val="20"/>
                <w:lang w:val="en-US"/>
              </w:rPr>
              <w:t>Inputs</w:t>
            </w:r>
          </w:p>
          <w:p w:rsidR="00C1064D" w:rsidRDefault="00C1064D" w:rsidP="00345156">
            <w:pPr>
              <w:jc w:val="both"/>
              <w:rPr>
                <w:rFonts w:ascii="Arial" w:hAnsi="Arial" w:cs="Arial"/>
                <w:noProof/>
                <w:sz w:val="20"/>
                <w:szCs w:val="20"/>
                <w:lang w:val="en-US"/>
              </w:rPr>
            </w:pPr>
            <w:r>
              <w:rPr>
                <w:rFonts w:ascii="Arial" w:hAnsi="Arial" w:cs="Arial"/>
                <w:noProof/>
                <w:sz w:val="20"/>
                <w:szCs w:val="20"/>
                <w:lang w:val="en-US"/>
              </w:rPr>
              <w:t>Design water supply systems so there is capacity to deal with changes in water quality and identify reliable alternafive sources of water</w:t>
            </w:r>
          </w:p>
        </w:tc>
      </w:tr>
    </w:tbl>
    <w:p w:rsidR="00B964E0" w:rsidRPr="006626DA" w:rsidRDefault="00EE7304" w:rsidP="00AA03AD">
      <w:pPr>
        <w:spacing w:before="240" w:after="0" w:line="240" w:lineRule="auto"/>
        <w:jc w:val="both"/>
        <w:rPr>
          <w:rFonts w:ascii="Arial" w:hAnsi="Arial" w:cs="Arial"/>
          <w:b/>
          <w:sz w:val="20"/>
          <w:szCs w:val="20"/>
        </w:rPr>
      </w:pPr>
      <w:r w:rsidRPr="006626DA">
        <w:rPr>
          <w:rFonts w:ascii="Arial" w:hAnsi="Arial" w:cs="Arial"/>
          <w:b/>
          <w:sz w:val="20"/>
          <w:szCs w:val="20"/>
        </w:rPr>
        <w:t>Reference documents</w:t>
      </w:r>
    </w:p>
    <w:p w:rsidR="006626DA" w:rsidRDefault="006626DA" w:rsidP="00AA03AD">
      <w:pPr>
        <w:spacing w:before="240" w:after="0" w:line="240" w:lineRule="auto"/>
        <w:jc w:val="both"/>
        <w:rPr>
          <w:rFonts w:ascii="Arial" w:hAnsi="Arial" w:cs="Arial"/>
          <w:sz w:val="20"/>
          <w:szCs w:val="20"/>
        </w:rPr>
      </w:pPr>
      <w:r w:rsidRPr="00AA03AD">
        <w:rPr>
          <w:rFonts w:ascii="Arial" w:hAnsi="Arial" w:cs="Arial"/>
          <w:sz w:val="20"/>
          <w:szCs w:val="20"/>
        </w:rPr>
        <w:t xml:space="preserve">Global WASH Cluster (2011), DRR and WASH Comprehensive Guidance, a Guideline for Field Practitioners Planning and Implementing WASH Interventions, </w:t>
      </w:r>
      <w:hyperlink r:id="rId9" w:history="1">
        <w:r w:rsidRPr="00AA03AD">
          <w:rPr>
            <w:rStyle w:val="Hyperlink"/>
            <w:rFonts w:ascii="Arial" w:hAnsi="Arial" w:cs="Arial"/>
            <w:sz w:val="20"/>
            <w:szCs w:val="20"/>
          </w:rPr>
          <w:t>http://water.care2share.wikispaces.net/file/view/Disaster+Risk+Reduction+and+WASH.pdf</w:t>
        </w:r>
      </w:hyperlink>
    </w:p>
    <w:p w:rsidR="00EE7304" w:rsidRDefault="00DF6F33" w:rsidP="00AA03AD">
      <w:pPr>
        <w:spacing w:before="240" w:after="0" w:line="240" w:lineRule="auto"/>
        <w:jc w:val="both"/>
        <w:rPr>
          <w:rFonts w:ascii="Arial" w:hAnsi="Arial" w:cs="Arial"/>
          <w:sz w:val="20"/>
          <w:szCs w:val="20"/>
        </w:rPr>
      </w:pPr>
      <w:r w:rsidRPr="00AA03AD">
        <w:rPr>
          <w:rFonts w:ascii="Arial" w:hAnsi="Arial" w:cs="Arial"/>
          <w:sz w:val="20"/>
          <w:szCs w:val="20"/>
        </w:rPr>
        <w:t xml:space="preserve">DG </w:t>
      </w:r>
      <w:r w:rsidR="00EE7304" w:rsidRPr="00AA03AD">
        <w:rPr>
          <w:rFonts w:ascii="Arial" w:hAnsi="Arial" w:cs="Arial"/>
          <w:sz w:val="20"/>
          <w:szCs w:val="20"/>
        </w:rPr>
        <w:t>ECHO</w:t>
      </w:r>
      <w:r w:rsidRPr="00AA03AD">
        <w:rPr>
          <w:rFonts w:ascii="Arial" w:hAnsi="Arial" w:cs="Arial"/>
          <w:sz w:val="20"/>
          <w:szCs w:val="20"/>
        </w:rPr>
        <w:t xml:space="preserve"> (2013), Thematic Policy n5, Disaster Risk Reduc</w:t>
      </w:r>
      <w:r w:rsidR="00352896" w:rsidRPr="00AA03AD">
        <w:rPr>
          <w:rFonts w:ascii="Arial" w:hAnsi="Arial" w:cs="Arial"/>
          <w:sz w:val="20"/>
          <w:szCs w:val="20"/>
        </w:rPr>
        <w:t>tion, Increasing Resilience by Decreasing Disaster Risk in Humanitarian A</w:t>
      </w:r>
      <w:r w:rsidRPr="00AA03AD">
        <w:rPr>
          <w:rFonts w:ascii="Arial" w:hAnsi="Arial" w:cs="Arial"/>
          <w:sz w:val="20"/>
          <w:szCs w:val="20"/>
        </w:rPr>
        <w:t>ction</w:t>
      </w:r>
      <w:r w:rsidR="007B09EE">
        <w:rPr>
          <w:rFonts w:ascii="Arial" w:hAnsi="Arial" w:cs="Arial"/>
          <w:sz w:val="20"/>
          <w:szCs w:val="20"/>
        </w:rPr>
        <w:t xml:space="preserve">, </w:t>
      </w:r>
      <w:hyperlink r:id="rId10" w:history="1">
        <w:r w:rsidR="007B09EE" w:rsidRPr="00A26699">
          <w:rPr>
            <w:rStyle w:val="Hyperlink"/>
            <w:rFonts w:ascii="Arial" w:hAnsi="Arial" w:cs="Arial"/>
            <w:sz w:val="20"/>
            <w:szCs w:val="20"/>
          </w:rPr>
          <w:t>http://ec.europa.eu/echo/files/policies/prevention_preparedness/DRR_thematic_policy_doc.pdf</w:t>
        </w:r>
      </w:hyperlink>
    </w:p>
    <w:p w:rsidR="00EE7304" w:rsidRPr="00AA03AD" w:rsidRDefault="00EE7304" w:rsidP="00AA03AD">
      <w:pPr>
        <w:spacing w:before="240" w:after="0" w:line="240" w:lineRule="auto"/>
        <w:jc w:val="both"/>
        <w:rPr>
          <w:rFonts w:ascii="Arial" w:hAnsi="Arial" w:cs="Arial"/>
          <w:sz w:val="20"/>
          <w:szCs w:val="20"/>
        </w:rPr>
      </w:pPr>
      <w:r w:rsidRPr="00AA03AD">
        <w:rPr>
          <w:rFonts w:ascii="Arial" w:hAnsi="Arial" w:cs="Arial"/>
          <w:sz w:val="20"/>
          <w:szCs w:val="20"/>
        </w:rPr>
        <w:t>UNICEF</w:t>
      </w:r>
      <w:r w:rsidR="00352896" w:rsidRPr="00AA03AD">
        <w:rPr>
          <w:rFonts w:ascii="Arial" w:hAnsi="Arial" w:cs="Arial"/>
          <w:sz w:val="20"/>
          <w:szCs w:val="20"/>
        </w:rPr>
        <w:t xml:space="preserve"> and Global Water Partnership (2014), WASH Climate Resilient Development, Strategic Framework</w:t>
      </w:r>
      <w:r w:rsidR="006626DA">
        <w:rPr>
          <w:rFonts w:ascii="Arial" w:hAnsi="Arial" w:cs="Arial"/>
          <w:sz w:val="20"/>
          <w:szCs w:val="20"/>
        </w:rPr>
        <w:t xml:space="preserve">, </w:t>
      </w:r>
      <w:hyperlink r:id="rId11" w:history="1">
        <w:r w:rsidR="006626DA" w:rsidRPr="00A26699">
          <w:rPr>
            <w:rStyle w:val="Hyperlink"/>
            <w:rFonts w:ascii="Arial" w:hAnsi="Arial" w:cs="Arial"/>
            <w:sz w:val="20"/>
            <w:szCs w:val="20"/>
          </w:rPr>
          <w:t>http://www.unicef.org/wash/files/Strategic_Framework_WEB.PDF</w:t>
        </w:r>
      </w:hyperlink>
      <w:r w:rsidR="006626DA">
        <w:rPr>
          <w:rFonts w:ascii="Arial" w:hAnsi="Arial" w:cs="Arial"/>
          <w:sz w:val="20"/>
          <w:szCs w:val="20"/>
        </w:rPr>
        <w:t xml:space="preserve"> </w:t>
      </w:r>
    </w:p>
    <w:p w:rsidR="00DF6F33" w:rsidRPr="00AA03AD" w:rsidRDefault="00DF6F33" w:rsidP="00AA03AD">
      <w:pPr>
        <w:spacing w:before="240" w:after="0" w:line="240" w:lineRule="auto"/>
        <w:jc w:val="both"/>
        <w:rPr>
          <w:rFonts w:ascii="Arial" w:hAnsi="Arial" w:cs="Arial"/>
          <w:sz w:val="20"/>
          <w:szCs w:val="20"/>
        </w:rPr>
      </w:pPr>
      <w:r w:rsidRPr="00AA03AD">
        <w:rPr>
          <w:rFonts w:ascii="Arial" w:hAnsi="Arial" w:cs="Arial"/>
          <w:sz w:val="20"/>
          <w:szCs w:val="20"/>
        </w:rPr>
        <w:t>UNICEF and Global Water Partnership (2014) Local Participatory Water Supply and Climate Change Risk Assessment: Modified Water Safety Plans</w:t>
      </w:r>
      <w:r w:rsidR="006626DA">
        <w:rPr>
          <w:rFonts w:ascii="Arial" w:hAnsi="Arial" w:cs="Arial"/>
          <w:sz w:val="20"/>
          <w:szCs w:val="20"/>
        </w:rPr>
        <w:t xml:space="preserve">, </w:t>
      </w:r>
      <w:hyperlink r:id="rId12" w:history="1">
        <w:r w:rsidR="006626DA" w:rsidRPr="00A26699">
          <w:rPr>
            <w:rStyle w:val="Hyperlink"/>
            <w:rFonts w:ascii="Arial" w:hAnsi="Arial" w:cs="Arial"/>
            <w:sz w:val="20"/>
            <w:szCs w:val="20"/>
          </w:rPr>
          <w:t>http://www.unicef.org/wash/files/GWP_UNICEF_Tech_A_WEB.PDF</w:t>
        </w:r>
      </w:hyperlink>
      <w:r w:rsidR="006626DA">
        <w:rPr>
          <w:rFonts w:ascii="Arial" w:hAnsi="Arial" w:cs="Arial"/>
          <w:sz w:val="20"/>
          <w:szCs w:val="20"/>
        </w:rPr>
        <w:t xml:space="preserve"> </w:t>
      </w:r>
    </w:p>
    <w:p w:rsidR="00352896" w:rsidRPr="006626DA" w:rsidRDefault="00352896" w:rsidP="00AA03AD">
      <w:pPr>
        <w:spacing w:before="240" w:after="0" w:line="240" w:lineRule="auto"/>
        <w:jc w:val="both"/>
        <w:rPr>
          <w:rStyle w:val="Hyperlink"/>
          <w:rFonts w:ascii="Arial" w:hAnsi="Arial" w:cs="Arial"/>
          <w:color w:val="auto"/>
          <w:sz w:val="20"/>
          <w:szCs w:val="20"/>
          <w:u w:val="none"/>
        </w:rPr>
      </w:pPr>
      <w:r w:rsidRPr="00AA03AD">
        <w:rPr>
          <w:rFonts w:ascii="Arial" w:hAnsi="Arial" w:cs="Arial"/>
          <w:sz w:val="20"/>
          <w:szCs w:val="20"/>
        </w:rPr>
        <w:t>UNICEF (undated), DRR and WASH One-Pager</w:t>
      </w:r>
      <w:r w:rsidR="00AA03AD" w:rsidRPr="00AA03AD">
        <w:rPr>
          <w:rFonts w:ascii="Arial" w:hAnsi="Arial" w:cs="Arial"/>
          <w:sz w:val="20"/>
          <w:szCs w:val="20"/>
        </w:rPr>
        <w:t>,</w:t>
      </w:r>
      <w:r w:rsidR="006626DA">
        <w:rPr>
          <w:rFonts w:ascii="Arial" w:hAnsi="Arial" w:cs="Arial"/>
          <w:sz w:val="20"/>
          <w:szCs w:val="20"/>
        </w:rPr>
        <w:t xml:space="preserve"> </w:t>
      </w:r>
      <w:hyperlink r:id="rId13" w:history="1">
        <w:r w:rsidR="00AA03AD" w:rsidRPr="00AA03AD">
          <w:rPr>
            <w:rStyle w:val="Hyperlink"/>
            <w:rFonts w:ascii="Arial" w:hAnsi="Arial" w:cs="Arial"/>
            <w:sz w:val="20"/>
            <w:szCs w:val="20"/>
          </w:rPr>
          <w:t>http://resourcecentre.savethechildren.se/sites/default/files/documents/6658.pdf</w:t>
        </w:r>
      </w:hyperlink>
    </w:p>
    <w:p w:rsidR="00735D71" w:rsidRPr="00735D71" w:rsidRDefault="00AA03AD" w:rsidP="00AA03AD">
      <w:pPr>
        <w:spacing w:before="240" w:after="0" w:line="240" w:lineRule="auto"/>
        <w:rPr>
          <w:rFonts w:ascii="Arial" w:hAnsi="Arial" w:cs="Arial"/>
          <w:sz w:val="20"/>
          <w:szCs w:val="20"/>
          <w:u w:val="single"/>
          <w:lang w:val="en-US"/>
        </w:rPr>
      </w:pPr>
      <w:r w:rsidRPr="00AA03AD">
        <w:rPr>
          <w:rFonts w:ascii="Arial" w:hAnsi="Arial" w:cs="Arial"/>
          <w:sz w:val="20"/>
          <w:szCs w:val="20"/>
          <w:lang w:val="en-US"/>
        </w:rPr>
        <w:t xml:space="preserve">Pan-American Health Organization, </w:t>
      </w:r>
      <w:r>
        <w:rPr>
          <w:rFonts w:ascii="Arial" w:hAnsi="Arial" w:cs="Arial"/>
          <w:sz w:val="20"/>
          <w:szCs w:val="20"/>
          <w:lang w:val="en-US"/>
        </w:rPr>
        <w:t>UN</w:t>
      </w:r>
      <w:r w:rsidRPr="00AA03AD">
        <w:rPr>
          <w:rFonts w:ascii="Arial" w:hAnsi="Arial" w:cs="Arial"/>
          <w:sz w:val="20"/>
          <w:szCs w:val="20"/>
          <w:lang w:val="en-US"/>
        </w:rPr>
        <w:t>ISDR, UNICEF and IFRC</w:t>
      </w:r>
      <w:r w:rsidR="006626DA">
        <w:rPr>
          <w:rFonts w:ascii="Arial" w:hAnsi="Arial" w:cs="Arial"/>
          <w:sz w:val="20"/>
          <w:szCs w:val="20"/>
          <w:lang w:val="en-US"/>
        </w:rPr>
        <w:t xml:space="preserve"> (2006)</w:t>
      </w:r>
      <w:r w:rsidRPr="00AA03AD">
        <w:rPr>
          <w:rFonts w:ascii="Arial" w:hAnsi="Arial" w:cs="Arial"/>
          <w:sz w:val="20"/>
          <w:szCs w:val="20"/>
          <w:lang w:val="en-US"/>
        </w:rPr>
        <w:t>, The Challenge in Disaster Reduction for the Water and Sanitation Sector – Improving Quality of Life by Reducing Vulnerabilities,</w:t>
      </w:r>
      <w:r w:rsidRPr="00AA03AD">
        <w:rPr>
          <w:rFonts w:ascii="Arial" w:hAnsi="Arial" w:cs="Arial"/>
          <w:i/>
          <w:sz w:val="20"/>
          <w:szCs w:val="20"/>
          <w:lang w:val="en-US"/>
        </w:rPr>
        <w:t xml:space="preserve"> </w:t>
      </w:r>
      <w:r w:rsidRPr="00AA03AD">
        <w:rPr>
          <w:rFonts w:ascii="Arial" w:hAnsi="Arial" w:cs="Arial"/>
          <w:sz w:val="20"/>
          <w:szCs w:val="20"/>
          <w:lang w:val="en-US"/>
        </w:rPr>
        <w:t xml:space="preserve"> </w:t>
      </w:r>
      <w:hyperlink r:id="rId14" w:history="1">
        <w:r w:rsidRPr="00AA03AD">
          <w:rPr>
            <w:rFonts w:ascii="Arial" w:hAnsi="Arial" w:cs="Arial"/>
            <w:sz w:val="20"/>
            <w:szCs w:val="20"/>
            <w:u w:val="single"/>
            <w:lang w:val="en-US"/>
          </w:rPr>
          <w:t>http://www.paho.org/english/dd/ped/DesafiodelAgua.htm</w:t>
        </w:r>
      </w:hyperlink>
    </w:p>
    <w:p w:rsidR="00AA03AD" w:rsidRPr="00AA03AD" w:rsidRDefault="00AA03AD" w:rsidP="00AA03AD">
      <w:pPr>
        <w:spacing w:before="240" w:after="0" w:line="240" w:lineRule="auto"/>
        <w:rPr>
          <w:sz w:val="20"/>
          <w:szCs w:val="20"/>
        </w:rPr>
      </w:pPr>
    </w:p>
    <w:p w:rsidR="00AA03AD" w:rsidRPr="00DA4085" w:rsidRDefault="006626DA" w:rsidP="003A33CE">
      <w:pPr>
        <w:pBdr>
          <w:bottom w:val="single" w:sz="4" w:space="1" w:color="auto"/>
        </w:pBdr>
        <w:spacing w:after="0" w:line="240" w:lineRule="auto"/>
        <w:jc w:val="both"/>
        <w:rPr>
          <w:rFonts w:ascii="Arial" w:hAnsi="Arial" w:cs="Arial"/>
          <w:b/>
          <w:sz w:val="20"/>
          <w:szCs w:val="20"/>
        </w:rPr>
      </w:pPr>
      <w:r w:rsidRPr="00DA4085">
        <w:rPr>
          <w:rFonts w:ascii="Arial" w:hAnsi="Arial" w:cs="Arial"/>
          <w:b/>
          <w:sz w:val="20"/>
          <w:szCs w:val="20"/>
        </w:rPr>
        <w:t>EDUCATION</w:t>
      </w:r>
    </w:p>
    <w:p w:rsidR="00D90BEE" w:rsidRDefault="00DA4085" w:rsidP="00345156">
      <w:pPr>
        <w:spacing w:after="0" w:line="240" w:lineRule="auto"/>
        <w:jc w:val="both"/>
        <w:rPr>
          <w:rFonts w:ascii="Arial" w:hAnsi="Arial" w:cs="Arial"/>
          <w:sz w:val="20"/>
          <w:szCs w:val="20"/>
        </w:rPr>
      </w:pPr>
      <w:r>
        <w:rPr>
          <w:noProof/>
          <w:lang w:val="en-US"/>
        </w:rPr>
        <w:drawing>
          <wp:anchor distT="0" distB="0" distL="114300" distR="114300" simplePos="0" relativeHeight="251661312" behindDoc="0" locked="0" layoutInCell="1" allowOverlap="1" wp14:anchorId="309D395A" wp14:editId="1AADEE9D">
            <wp:simplePos x="0" y="0"/>
            <wp:positionH relativeFrom="column">
              <wp:posOffset>2513526</wp:posOffset>
            </wp:positionH>
            <wp:positionV relativeFrom="paragraph">
              <wp:posOffset>145952</wp:posOffset>
            </wp:positionV>
            <wp:extent cx="3466465" cy="3340735"/>
            <wp:effectExtent l="0" t="0" r="635" b="0"/>
            <wp:wrapSquare wrapText="bothSides"/>
            <wp:docPr id="5"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466465" cy="3340735"/>
                    </a:xfrm>
                    <a:prstGeom prst="rect">
                      <a:avLst/>
                    </a:prstGeom>
                  </pic:spPr>
                </pic:pic>
              </a:graphicData>
            </a:graphic>
          </wp:anchor>
        </w:drawing>
      </w:r>
    </w:p>
    <w:p w:rsidR="00DA4085" w:rsidRPr="00914CC2" w:rsidRDefault="00DA4085" w:rsidP="00DA4085">
      <w:pPr>
        <w:autoSpaceDE w:val="0"/>
        <w:autoSpaceDN w:val="0"/>
        <w:adjustRightInd w:val="0"/>
        <w:spacing w:after="0" w:line="240" w:lineRule="auto"/>
        <w:jc w:val="both"/>
        <w:rPr>
          <w:rFonts w:ascii="Arial" w:hAnsi="Arial" w:cs="Arial"/>
          <w:b/>
          <w:sz w:val="20"/>
          <w:szCs w:val="20"/>
          <w:lang w:val="en-US"/>
        </w:rPr>
      </w:pPr>
      <w:r w:rsidRPr="00914CC2">
        <w:rPr>
          <w:rFonts w:ascii="Arial" w:hAnsi="Arial" w:cs="Arial"/>
          <w:b/>
          <w:sz w:val="20"/>
          <w:szCs w:val="20"/>
          <w:lang w:val="en-US"/>
        </w:rPr>
        <w:t xml:space="preserve">Goal and Objectives of DRR mainstreaming in </w:t>
      </w:r>
      <w:r>
        <w:rPr>
          <w:rFonts w:ascii="Arial" w:hAnsi="Arial" w:cs="Arial"/>
          <w:b/>
          <w:sz w:val="20"/>
          <w:szCs w:val="20"/>
          <w:lang w:val="en-US"/>
        </w:rPr>
        <w:t>education</w:t>
      </w:r>
      <w:r w:rsidRPr="00914CC2">
        <w:rPr>
          <w:rFonts w:ascii="Arial" w:hAnsi="Arial" w:cs="Arial"/>
          <w:b/>
          <w:sz w:val="20"/>
          <w:szCs w:val="20"/>
          <w:lang w:val="en-US"/>
        </w:rPr>
        <w:t xml:space="preserve"> recovery programming</w:t>
      </w:r>
    </w:p>
    <w:p w:rsidR="00DA4085" w:rsidRDefault="00DA4085" w:rsidP="00345156">
      <w:pPr>
        <w:spacing w:after="0" w:line="240" w:lineRule="auto"/>
        <w:jc w:val="both"/>
        <w:rPr>
          <w:rFonts w:ascii="Arial" w:hAnsi="Arial" w:cs="Arial"/>
          <w:sz w:val="20"/>
          <w:szCs w:val="20"/>
          <w:lang w:val="en-US"/>
        </w:rPr>
      </w:pPr>
    </w:p>
    <w:p w:rsidR="00DA4085" w:rsidRPr="00DA4085" w:rsidRDefault="00DA4085" w:rsidP="00345156">
      <w:pPr>
        <w:spacing w:after="0" w:line="240" w:lineRule="auto"/>
        <w:jc w:val="both"/>
        <w:rPr>
          <w:rFonts w:ascii="Arial" w:hAnsi="Arial" w:cs="Arial"/>
          <w:sz w:val="20"/>
          <w:szCs w:val="20"/>
          <w:lang w:val="en-US"/>
        </w:rPr>
      </w:pPr>
      <w:r>
        <w:rPr>
          <w:rFonts w:ascii="Arial" w:hAnsi="Arial" w:cs="Arial"/>
          <w:sz w:val="20"/>
          <w:szCs w:val="20"/>
          <w:lang w:val="en-US"/>
        </w:rPr>
        <w:t>The overall goal of mainstreaming DRR in or implementing a comprehensive school safety approach to disaster education recovery planning is to protect the lives of children and education personnel as well as to safeguard sector achievements and investments. Specifically, it serves the 3 following objectives, extracted from the Comprehensive School Safety Framework:</w:t>
      </w:r>
    </w:p>
    <w:p w:rsidR="00FA7467" w:rsidRPr="003A33CE" w:rsidRDefault="00F80EC3" w:rsidP="003A33CE">
      <w:pPr>
        <w:numPr>
          <w:ilvl w:val="0"/>
          <w:numId w:val="5"/>
        </w:numPr>
        <w:spacing w:after="0" w:line="240" w:lineRule="auto"/>
        <w:jc w:val="both"/>
        <w:rPr>
          <w:rFonts w:ascii="Arial" w:hAnsi="Arial" w:cs="Arial"/>
          <w:sz w:val="20"/>
          <w:szCs w:val="20"/>
          <w:lang w:val="en-US"/>
        </w:rPr>
      </w:pPr>
      <w:r w:rsidRPr="003A33CE">
        <w:rPr>
          <w:rFonts w:ascii="Arial" w:hAnsi="Arial" w:cs="Arial"/>
          <w:sz w:val="20"/>
          <w:szCs w:val="20"/>
          <w:lang w:val="en-US"/>
        </w:rPr>
        <w:t>To protect learners and education workers from death, injury and harm in schools;</w:t>
      </w:r>
    </w:p>
    <w:p w:rsidR="00FA7467" w:rsidRPr="003A33CE" w:rsidRDefault="00F80EC3" w:rsidP="003A33CE">
      <w:pPr>
        <w:numPr>
          <w:ilvl w:val="0"/>
          <w:numId w:val="5"/>
        </w:numPr>
        <w:spacing w:after="0" w:line="240" w:lineRule="auto"/>
        <w:jc w:val="both"/>
        <w:rPr>
          <w:rFonts w:ascii="Arial" w:hAnsi="Arial" w:cs="Arial"/>
          <w:sz w:val="20"/>
          <w:szCs w:val="20"/>
          <w:lang w:val="en-US"/>
        </w:rPr>
      </w:pPr>
      <w:r w:rsidRPr="003A33CE">
        <w:rPr>
          <w:rFonts w:ascii="Arial" w:hAnsi="Arial" w:cs="Arial"/>
          <w:sz w:val="20"/>
          <w:szCs w:val="20"/>
          <w:lang w:val="en-US"/>
        </w:rPr>
        <w:t>To plan for educational continuity in the face of expected hazards;</w:t>
      </w:r>
    </w:p>
    <w:p w:rsidR="00FA7467" w:rsidRPr="003A33CE" w:rsidRDefault="00F80EC3" w:rsidP="003A33CE">
      <w:pPr>
        <w:numPr>
          <w:ilvl w:val="0"/>
          <w:numId w:val="5"/>
        </w:numPr>
        <w:spacing w:after="0" w:line="240" w:lineRule="auto"/>
        <w:jc w:val="both"/>
        <w:rPr>
          <w:rFonts w:ascii="Arial" w:hAnsi="Arial" w:cs="Arial"/>
          <w:sz w:val="20"/>
          <w:szCs w:val="20"/>
          <w:lang w:val="en-US"/>
        </w:rPr>
      </w:pPr>
      <w:r w:rsidRPr="003A33CE">
        <w:rPr>
          <w:rFonts w:ascii="Arial" w:hAnsi="Arial" w:cs="Arial"/>
          <w:sz w:val="20"/>
          <w:szCs w:val="20"/>
          <w:lang w:val="en-US"/>
        </w:rPr>
        <w:t>To safeguard education sector investments</w:t>
      </w:r>
      <w:r w:rsidR="00DA4085">
        <w:rPr>
          <w:rFonts w:ascii="Arial" w:hAnsi="Arial" w:cs="Arial"/>
          <w:sz w:val="20"/>
          <w:szCs w:val="20"/>
          <w:lang w:val="en-US"/>
        </w:rPr>
        <w:t>;</w:t>
      </w:r>
    </w:p>
    <w:p w:rsidR="00FA7467" w:rsidRPr="003A33CE" w:rsidRDefault="00F80EC3" w:rsidP="003A33CE">
      <w:pPr>
        <w:numPr>
          <w:ilvl w:val="0"/>
          <w:numId w:val="5"/>
        </w:numPr>
        <w:spacing w:after="0" w:line="240" w:lineRule="auto"/>
        <w:jc w:val="both"/>
        <w:rPr>
          <w:rFonts w:ascii="Arial" w:hAnsi="Arial" w:cs="Arial"/>
          <w:sz w:val="20"/>
          <w:szCs w:val="20"/>
          <w:lang w:val="en-US"/>
        </w:rPr>
      </w:pPr>
      <w:r w:rsidRPr="003A33CE">
        <w:rPr>
          <w:rFonts w:ascii="Arial" w:hAnsi="Arial" w:cs="Arial"/>
          <w:sz w:val="20"/>
          <w:szCs w:val="20"/>
          <w:lang w:val="en-US"/>
        </w:rPr>
        <w:t>To strengthen climate-smart disaster resilience through education</w:t>
      </w:r>
      <w:r w:rsidR="00DA4085">
        <w:rPr>
          <w:noProof/>
          <w:lang w:val="en-US"/>
        </w:rPr>
        <w:t>.</w:t>
      </w:r>
    </w:p>
    <w:p w:rsidR="003A33CE" w:rsidRPr="003A33CE" w:rsidRDefault="003A33CE" w:rsidP="00345156">
      <w:pPr>
        <w:spacing w:after="0" w:line="240" w:lineRule="auto"/>
        <w:jc w:val="both"/>
        <w:rPr>
          <w:rFonts w:ascii="Arial" w:hAnsi="Arial" w:cs="Arial"/>
          <w:sz w:val="20"/>
          <w:szCs w:val="20"/>
          <w:lang w:val="en-US"/>
        </w:rPr>
      </w:pPr>
    </w:p>
    <w:p w:rsidR="00AB0930" w:rsidRDefault="00DA4085" w:rsidP="00600AF4">
      <w:pPr>
        <w:spacing w:after="0" w:line="240" w:lineRule="auto"/>
        <w:jc w:val="both"/>
        <w:rPr>
          <w:rFonts w:ascii="Arial" w:hAnsi="Arial" w:cs="Arial"/>
          <w:sz w:val="20"/>
          <w:szCs w:val="20"/>
          <w:lang w:val="en-US"/>
        </w:rPr>
      </w:pPr>
      <w:r>
        <w:rPr>
          <w:rFonts w:ascii="Arial" w:hAnsi="Arial" w:cs="Arial"/>
          <w:sz w:val="20"/>
          <w:szCs w:val="20"/>
          <w:lang w:val="en-US"/>
        </w:rPr>
        <w:t>There are three recognized approaches to comprehensive school safety, which are widely accepted by the international community and an increasing number of Governments:</w:t>
      </w:r>
    </w:p>
    <w:p w:rsidR="00DA4085" w:rsidRPr="00DA4085" w:rsidRDefault="00DA4085" w:rsidP="00DA4085">
      <w:pPr>
        <w:pStyle w:val="ListParagraph"/>
        <w:numPr>
          <w:ilvl w:val="0"/>
          <w:numId w:val="10"/>
        </w:numPr>
        <w:autoSpaceDE w:val="0"/>
        <w:autoSpaceDN w:val="0"/>
        <w:adjustRightInd w:val="0"/>
        <w:spacing w:after="0" w:line="240" w:lineRule="auto"/>
        <w:rPr>
          <w:rFonts w:ascii="Arial" w:hAnsi="Arial" w:cs="Arial"/>
          <w:sz w:val="20"/>
          <w:szCs w:val="20"/>
          <w:lang w:val="en-US"/>
        </w:rPr>
      </w:pPr>
      <w:r w:rsidRPr="00DA4085">
        <w:rPr>
          <w:rFonts w:ascii="Arial" w:hAnsi="Arial" w:cs="Arial"/>
          <w:sz w:val="20"/>
          <w:szCs w:val="20"/>
          <w:lang w:val="en-US"/>
        </w:rPr>
        <w:t>Safe learning facilities involves education authorities, planners, architects, engineers, builders, and school community members in safe site selection, design, construction and maintenance (mitigation).</w:t>
      </w:r>
    </w:p>
    <w:p w:rsidR="00DA4085" w:rsidRPr="00DA4085" w:rsidRDefault="00DA4085" w:rsidP="00DA4085">
      <w:pPr>
        <w:pStyle w:val="ListParagraph"/>
        <w:numPr>
          <w:ilvl w:val="0"/>
          <w:numId w:val="10"/>
        </w:numPr>
        <w:autoSpaceDE w:val="0"/>
        <w:autoSpaceDN w:val="0"/>
        <w:adjustRightInd w:val="0"/>
        <w:spacing w:after="0" w:line="240" w:lineRule="auto"/>
        <w:rPr>
          <w:rFonts w:ascii="Arial" w:hAnsi="Arial" w:cs="Arial"/>
          <w:sz w:val="20"/>
          <w:szCs w:val="20"/>
          <w:lang w:val="en-US"/>
        </w:rPr>
      </w:pPr>
      <w:r w:rsidRPr="00DA4085">
        <w:rPr>
          <w:rFonts w:ascii="Arial" w:hAnsi="Arial" w:cs="Arial"/>
          <w:sz w:val="20"/>
          <w:szCs w:val="20"/>
          <w:lang w:val="en-US"/>
        </w:rPr>
        <w:t>School Disaster Management is established via national and sub-national education authorities and local school communities (including children and parents), working in collaboration with their disaster management counterparts at each jurisdiction, in order to maintain safe learning environments and plan for educational continuity, conforming to international standards (preparedness)</w:t>
      </w:r>
    </w:p>
    <w:p w:rsidR="00DA4085" w:rsidRPr="00DA4085" w:rsidRDefault="00DA4085" w:rsidP="00DA4085">
      <w:pPr>
        <w:pStyle w:val="ListParagraph"/>
        <w:numPr>
          <w:ilvl w:val="0"/>
          <w:numId w:val="10"/>
        </w:numPr>
        <w:spacing w:after="0" w:line="240" w:lineRule="auto"/>
        <w:jc w:val="both"/>
        <w:rPr>
          <w:rFonts w:ascii="Arial" w:hAnsi="Arial" w:cs="Arial"/>
          <w:sz w:val="20"/>
          <w:szCs w:val="20"/>
          <w:lang w:val="en-US"/>
        </w:rPr>
      </w:pPr>
      <w:r w:rsidRPr="00DA4085">
        <w:rPr>
          <w:rFonts w:ascii="Arial" w:hAnsi="Arial" w:cs="Arial"/>
          <w:sz w:val="20"/>
          <w:szCs w:val="20"/>
          <w:lang w:val="en-US"/>
        </w:rPr>
        <w:t>Risk Reduction and Resilience Education is designed to develop a culture of safety (enabling environment)</w:t>
      </w:r>
    </w:p>
    <w:p w:rsidR="00DA4085" w:rsidRDefault="00DA4085" w:rsidP="00600AF4">
      <w:pPr>
        <w:spacing w:after="0" w:line="240" w:lineRule="auto"/>
        <w:jc w:val="both"/>
        <w:rPr>
          <w:rFonts w:ascii="Arial" w:hAnsi="Arial" w:cs="Arial"/>
          <w:sz w:val="20"/>
          <w:szCs w:val="20"/>
          <w:lang w:val="en-US"/>
        </w:rPr>
      </w:pPr>
    </w:p>
    <w:p w:rsidR="00600AF4" w:rsidRPr="00DA4085" w:rsidRDefault="00600AF4" w:rsidP="00600AF4">
      <w:pPr>
        <w:spacing w:after="0" w:line="240" w:lineRule="auto"/>
        <w:jc w:val="both"/>
        <w:rPr>
          <w:rFonts w:ascii="Arial" w:hAnsi="Arial" w:cs="Arial"/>
          <w:b/>
          <w:sz w:val="20"/>
          <w:szCs w:val="20"/>
          <w:lang w:val="en-US"/>
        </w:rPr>
      </w:pPr>
      <w:r w:rsidRPr="00DA4085">
        <w:rPr>
          <w:rFonts w:ascii="Arial" w:hAnsi="Arial" w:cs="Arial"/>
          <w:b/>
          <w:sz w:val="20"/>
          <w:szCs w:val="20"/>
          <w:lang w:val="en-US"/>
        </w:rPr>
        <w:t>Examples of measures that support the mainstreaming of DRR in WASH recovery programming</w:t>
      </w:r>
    </w:p>
    <w:p w:rsidR="00600AF4" w:rsidRPr="00893B59" w:rsidRDefault="00600AF4" w:rsidP="00600AF4">
      <w:pPr>
        <w:spacing w:after="0" w:line="240" w:lineRule="auto"/>
        <w:jc w:val="both"/>
        <w:rPr>
          <w:rFonts w:ascii="Arial" w:hAnsi="Arial" w:cs="Arial"/>
          <w:sz w:val="20"/>
          <w:szCs w:val="20"/>
          <w:lang w:val="en-US"/>
        </w:rPr>
      </w:pPr>
    </w:p>
    <w:tbl>
      <w:tblPr>
        <w:tblStyle w:val="TableGrid"/>
        <w:tblW w:w="95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710"/>
        <w:gridCol w:w="6300"/>
      </w:tblGrid>
      <w:tr w:rsidR="0035729F" w:rsidRPr="0035729F" w:rsidTr="0035729F">
        <w:tc>
          <w:tcPr>
            <w:tcW w:w="1530" w:type="dxa"/>
            <w:tcBorders>
              <w:bottom w:val="single" w:sz="4" w:space="0" w:color="auto"/>
            </w:tcBorders>
            <w:shd w:val="clear" w:color="auto" w:fill="D9D9D9" w:themeFill="background1" w:themeFillShade="D9"/>
          </w:tcPr>
          <w:p w:rsidR="00600AF4" w:rsidRPr="0035729F" w:rsidRDefault="00600AF4" w:rsidP="00BA395C">
            <w:pPr>
              <w:jc w:val="center"/>
              <w:rPr>
                <w:rFonts w:ascii="Arial" w:hAnsi="Arial" w:cs="Arial"/>
                <w:b/>
                <w:sz w:val="20"/>
                <w:szCs w:val="20"/>
              </w:rPr>
            </w:pPr>
            <w:r w:rsidRPr="0035729F">
              <w:rPr>
                <w:rFonts w:ascii="Arial" w:hAnsi="Arial" w:cs="Arial"/>
                <w:b/>
                <w:sz w:val="20"/>
                <w:szCs w:val="20"/>
              </w:rPr>
              <w:t>Phase</w:t>
            </w:r>
          </w:p>
        </w:tc>
        <w:tc>
          <w:tcPr>
            <w:tcW w:w="1710" w:type="dxa"/>
            <w:tcBorders>
              <w:bottom w:val="single" w:sz="4" w:space="0" w:color="auto"/>
            </w:tcBorders>
            <w:shd w:val="clear" w:color="auto" w:fill="D9D9D9" w:themeFill="background1" w:themeFillShade="D9"/>
          </w:tcPr>
          <w:p w:rsidR="00600AF4" w:rsidRPr="0035729F" w:rsidRDefault="00600AF4" w:rsidP="00BA395C">
            <w:pPr>
              <w:jc w:val="center"/>
              <w:rPr>
                <w:rFonts w:ascii="Arial" w:hAnsi="Arial" w:cs="Arial"/>
                <w:b/>
                <w:sz w:val="20"/>
                <w:szCs w:val="20"/>
              </w:rPr>
            </w:pPr>
            <w:r w:rsidRPr="0035729F">
              <w:rPr>
                <w:rFonts w:ascii="Arial" w:hAnsi="Arial" w:cs="Arial"/>
                <w:b/>
                <w:sz w:val="20"/>
                <w:szCs w:val="20"/>
              </w:rPr>
              <w:t>Scope of action</w:t>
            </w:r>
          </w:p>
        </w:tc>
        <w:tc>
          <w:tcPr>
            <w:tcW w:w="6300" w:type="dxa"/>
            <w:tcBorders>
              <w:bottom w:val="single" w:sz="4" w:space="0" w:color="auto"/>
            </w:tcBorders>
            <w:shd w:val="clear" w:color="auto" w:fill="D9D9D9" w:themeFill="background1" w:themeFillShade="D9"/>
          </w:tcPr>
          <w:p w:rsidR="00600AF4" w:rsidRPr="0035729F" w:rsidRDefault="00600AF4" w:rsidP="00600AF4">
            <w:pPr>
              <w:jc w:val="center"/>
              <w:rPr>
                <w:rFonts w:ascii="Arial" w:hAnsi="Arial" w:cs="Arial"/>
                <w:b/>
                <w:sz w:val="20"/>
                <w:szCs w:val="20"/>
              </w:rPr>
            </w:pPr>
            <w:r w:rsidRPr="0035729F">
              <w:rPr>
                <w:rFonts w:ascii="Arial" w:hAnsi="Arial" w:cs="Arial"/>
                <w:b/>
                <w:sz w:val="20"/>
                <w:szCs w:val="20"/>
              </w:rPr>
              <w:t>Specific education examples</w:t>
            </w:r>
          </w:p>
        </w:tc>
      </w:tr>
      <w:tr w:rsidR="0035729F" w:rsidRPr="003A33CE" w:rsidTr="0035729F">
        <w:tc>
          <w:tcPr>
            <w:tcW w:w="1530" w:type="dxa"/>
            <w:tcBorders>
              <w:top w:val="single" w:sz="4" w:space="0" w:color="auto"/>
              <w:bottom w:val="single" w:sz="4" w:space="0" w:color="auto"/>
            </w:tcBorders>
          </w:tcPr>
          <w:p w:rsidR="00600AF4" w:rsidRPr="003A33CE" w:rsidRDefault="00600AF4" w:rsidP="00BA395C">
            <w:pPr>
              <w:jc w:val="both"/>
              <w:rPr>
                <w:rFonts w:ascii="Arial" w:hAnsi="Arial" w:cs="Arial"/>
                <w:sz w:val="20"/>
                <w:szCs w:val="20"/>
              </w:rPr>
            </w:pPr>
            <w:r w:rsidRPr="003A33CE">
              <w:rPr>
                <w:rFonts w:ascii="Arial" w:hAnsi="Arial" w:cs="Arial"/>
                <w:sz w:val="20"/>
                <w:szCs w:val="20"/>
              </w:rPr>
              <w:t>Recovery and reconstruction</w:t>
            </w:r>
          </w:p>
        </w:tc>
        <w:tc>
          <w:tcPr>
            <w:tcW w:w="1710" w:type="dxa"/>
            <w:tcBorders>
              <w:top w:val="single" w:sz="4" w:space="0" w:color="auto"/>
              <w:bottom w:val="single" w:sz="4" w:space="0" w:color="auto"/>
            </w:tcBorders>
          </w:tcPr>
          <w:p w:rsidR="00600AF4" w:rsidRPr="003A33CE" w:rsidRDefault="00600AF4" w:rsidP="00BA395C">
            <w:pPr>
              <w:jc w:val="both"/>
              <w:rPr>
                <w:rFonts w:ascii="Arial" w:hAnsi="Arial" w:cs="Arial"/>
                <w:sz w:val="20"/>
                <w:szCs w:val="20"/>
              </w:rPr>
            </w:pPr>
            <w:r w:rsidRPr="003A33CE">
              <w:rPr>
                <w:rFonts w:ascii="Arial" w:hAnsi="Arial" w:cs="Arial"/>
                <w:sz w:val="20"/>
                <w:szCs w:val="20"/>
              </w:rPr>
              <w:t>Mitigation or Safe learning facilities</w:t>
            </w:r>
          </w:p>
        </w:tc>
        <w:tc>
          <w:tcPr>
            <w:tcW w:w="6300" w:type="dxa"/>
            <w:tcBorders>
              <w:top w:val="single" w:sz="4" w:space="0" w:color="auto"/>
              <w:bottom w:val="single" w:sz="4" w:space="0" w:color="auto"/>
            </w:tcBorders>
          </w:tcPr>
          <w:p w:rsidR="00600AF4" w:rsidRPr="003A33CE" w:rsidRDefault="00600AF4" w:rsidP="003A33CE">
            <w:pPr>
              <w:pStyle w:val="ListParagraph"/>
              <w:numPr>
                <w:ilvl w:val="0"/>
                <w:numId w:val="6"/>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Select safe school sites and implement disaster-resilient design and construction to make every new school a safe school</w:t>
            </w:r>
          </w:p>
          <w:p w:rsidR="00600AF4" w:rsidRPr="003A33CE" w:rsidRDefault="00600AF4" w:rsidP="003A33CE">
            <w:pPr>
              <w:pStyle w:val="ListParagraph"/>
              <w:numPr>
                <w:ilvl w:val="0"/>
                <w:numId w:val="6"/>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Implement prioritization schema for retrofit and replacement (including relocation of unsafe schools)</w:t>
            </w:r>
          </w:p>
          <w:p w:rsidR="00600AF4" w:rsidRPr="003A33CE" w:rsidRDefault="00600AF4" w:rsidP="003A33CE">
            <w:pPr>
              <w:pStyle w:val="ListParagraph"/>
              <w:numPr>
                <w:ilvl w:val="0"/>
                <w:numId w:val="6"/>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Minimize structural, non-structural and infrastructural risks to make buildings and facilities for survival and evacuation.</w:t>
            </w:r>
          </w:p>
          <w:p w:rsidR="00600AF4" w:rsidRPr="003A33CE" w:rsidRDefault="00600AF4" w:rsidP="003A33CE">
            <w:pPr>
              <w:pStyle w:val="ListParagraph"/>
              <w:numPr>
                <w:ilvl w:val="0"/>
                <w:numId w:val="6"/>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Incorporate access and safety for people with disabilities in design and construction of school facilities.</w:t>
            </w:r>
          </w:p>
          <w:p w:rsidR="00600AF4" w:rsidRPr="003A33CE" w:rsidRDefault="00600AF4" w:rsidP="003A33CE">
            <w:pPr>
              <w:pStyle w:val="ListParagraph"/>
              <w:widowControl w:val="0"/>
              <w:numPr>
                <w:ilvl w:val="0"/>
                <w:numId w:val="6"/>
              </w:numPr>
              <w:autoSpaceDE w:val="0"/>
              <w:autoSpaceDN w:val="0"/>
              <w:adjustRightInd w:val="0"/>
              <w:rPr>
                <w:rFonts w:ascii="Arial" w:eastAsiaTheme="minorEastAsia" w:hAnsi="Arial" w:cs="Arial"/>
                <w:sz w:val="20"/>
                <w:szCs w:val="20"/>
                <w:lang w:val="en-US"/>
              </w:rPr>
            </w:pPr>
            <w:r w:rsidRPr="003A33CE">
              <w:rPr>
                <w:rFonts w:ascii="Arial" w:eastAsiaTheme="minorEastAsia" w:hAnsi="Arial" w:cs="Arial"/>
                <w:sz w:val="20"/>
                <w:szCs w:val="20"/>
                <w:lang w:val="en-US"/>
              </w:rPr>
              <w:t>If schools are planned as temporary community shelters, design them to meet these needs, and be sure to plan for suitable alternate facilities for educational continuity.</w:t>
            </w:r>
          </w:p>
          <w:p w:rsidR="00600AF4" w:rsidRPr="003A33CE" w:rsidRDefault="00600AF4" w:rsidP="003A33CE">
            <w:pPr>
              <w:pStyle w:val="ListParagraph"/>
              <w:numPr>
                <w:ilvl w:val="0"/>
                <w:numId w:val="6"/>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Ensure that children’s access to schools is free from physical risks (e.g. pedestrian paths, road and river crossings).</w:t>
            </w:r>
          </w:p>
          <w:p w:rsidR="00600AF4" w:rsidRPr="003A33CE" w:rsidRDefault="00600AF4" w:rsidP="003A33CE">
            <w:pPr>
              <w:pStyle w:val="ListParagraph"/>
              <w:widowControl w:val="0"/>
              <w:numPr>
                <w:ilvl w:val="0"/>
                <w:numId w:val="6"/>
              </w:numPr>
              <w:autoSpaceDE w:val="0"/>
              <w:autoSpaceDN w:val="0"/>
              <w:adjustRightInd w:val="0"/>
              <w:rPr>
                <w:rFonts w:ascii="Arial" w:eastAsiaTheme="minorEastAsia" w:hAnsi="Arial" w:cs="Arial"/>
                <w:sz w:val="20"/>
                <w:szCs w:val="20"/>
                <w:lang w:val="en-US"/>
              </w:rPr>
            </w:pPr>
            <w:r w:rsidRPr="003A33CE">
              <w:rPr>
                <w:rFonts w:ascii="Arial" w:eastAsiaTheme="minorEastAsia" w:hAnsi="Arial" w:cs="Arial"/>
                <w:sz w:val="20"/>
                <w:szCs w:val="20"/>
                <w:lang w:val="en-US"/>
              </w:rPr>
              <w:t>Adapt water and sanitation facilities to potential risks (e.g. rain-fed and lined latrines).</w:t>
            </w:r>
          </w:p>
          <w:p w:rsidR="00600AF4" w:rsidRPr="003A33CE" w:rsidRDefault="00600AF4" w:rsidP="003A33CE">
            <w:pPr>
              <w:pStyle w:val="ListParagraph"/>
              <w:numPr>
                <w:ilvl w:val="0"/>
                <w:numId w:val="6"/>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lastRenderedPageBreak/>
              <w:t>Implement climate-smart interventions to enhance water, energy and food security (e.g. rainwater harvesting, solar panels, renewable energy, and school gardens).</w:t>
            </w:r>
          </w:p>
          <w:p w:rsidR="00600AF4" w:rsidRPr="003A33CE" w:rsidRDefault="00600AF4" w:rsidP="003A33CE">
            <w:pPr>
              <w:pStyle w:val="ListParagraph"/>
              <w:numPr>
                <w:ilvl w:val="0"/>
                <w:numId w:val="6"/>
              </w:numPr>
              <w:jc w:val="both"/>
              <w:rPr>
                <w:rFonts w:ascii="Arial" w:hAnsi="Arial" w:cs="Arial"/>
                <w:sz w:val="20"/>
                <w:szCs w:val="20"/>
              </w:rPr>
            </w:pPr>
            <w:r w:rsidRPr="003A33CE">
              <w:rPr>
                <w:rFonts w:ascii="Arial" w:eastAsiaTheme="minorEastAsia" w:hAnsi="Arial" w:cs="Arial"/>
                <w:sz w:val="20"/>
                <w:szCs w:val="20"/>
                <w:lang w:val="en-US"/>
              </w:rPr>
              <w:t>Plan for continuous monitoring, financing, and oversight for ongoing facilities maintenance and safety.</w:t>
            </w:r>
          </w:p>
        </w:tc>
      </w:tr>
      <w:tr w:rsidR="0035729F" w:rsidRPr="003A33CE" w:rsidTr="0035729F">
        <w:tc>
          <w:tcPr>
            <w:tcW w:w="1530" w:type="dxa"/>
            <w:tcBorders>
              <w:top w:val="single" w:sz="4" w:space="0" w:color="auto"/>
              <w:bottom w:val="single" w:sz="4" w:space="0" w:color="auto"/>
            </w:tcBorders>
          </w:tcPr>
          <w:p w:rsidR="00600AF4" w:rsidRPr="003A33CE" w:rsidRDefault="00600AF4" w:rsidP="00BA395C">
            <w:pPr>
              <w:jc w:val="both"/>
              <w:rPr>
                <w:rFonts w:ascii="Arial" w:hAnsi="Arial" w:cs="Arial"/>
                <w:sz w:val="20"/>
                <w:szCs w:val="20"/>
              </w:rPr>
            </w:pPr>
          </w:p>
        </w:tc>
        <w:tc>
          <w:tcPr>
            <w:tcW w:w="1710" w:type="dxa"/>
            <w:tcBorders>
              <w:top w:val="single" w:sz="4" w:space="0" w:color="auto"/>
              <w:bottom w:val="single" w:sz="4" w:space="0" w:color="auto"/>
            </w:tcBorders>
          </w:tcPr>
          <w:p w:rsidR="00600AF4" w:rsidRPr="003A33CE" w:rsidRDefault="00600AF4" w:rsidP="00BA395C">
            <w:pPr>
              <w:jc w:val="both"/>
              <w:rPr>
                <w:rFonts w:ascii="Arial" w:hAnsi="Arial" w:cs="Arial"/>
                <w:sz w:val="20"/>
                <w:szCs w:val="20"/>
              </w:rPr>
            </w:pPr>
            <w:r w:rsidRPr="003A33CE">
              <w:rPr>
                <w:rFonts w:ascii="Arial" w:hAnsi="Arial" w:cs="Arial"/>
                <w:sz w:val="20"/>
                <w:szCs w:val="20"/>
              </w:rPr>
              <w:t>Preparedness or school disaster management</w:t>
            </w:r>
          </w:p>
        </w:tc>
        <w:tc>
          <w:tcPr>
            <w:tcW w:w="6300" w:type="dxa"/>
            <w:tcBorders>
              <w:top w:val="single" w:sz="4" w:space="0" w:color="auto"/>
              <w:bottom w:val="single" w:sz="4" w:space="0" w:color="auto"/>
            </w:tcBorders>
          </w:tcPr>
          <w:p w:rsidR="00600AF4" w:rsidRPr="003A33CE" w:rsidRDefault="00600AF4" w:rsidP="003A33CE">
            <w:pPr>
              <w:pStyle w:val="ListParagraph"/>
              <w:numPr>
                <w:ilvl w:val="0"/>
                <w:numId w:val="7"/>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 xml:space="preserve">Provide </w:t>
            </w:r>
            <w:r w:rsidR="00DA4085">
              <w:rPr>
                <w:rFonts w:ascii="Arial" w:eastAsiaTheme="minorEastAsia" w:hAnsi="Arial" w:cs="Arial"/>
                <w:sz w:val="20"/>
                <w:szCs w:val="20"/>
                <w:lang w:val="en-US"/>
              </w:rPr>
              <w:t xml:space="preserve">guidance </w:t>
            </w:r>
            <w:r w:rsidRPr="003A33CE">
              <w:rPr>
                <w:rFonts w:ascii="Arial" w:eastAsiaTheme="minorEastAsia" w:hAnsi="Arial" w:cs="Arial"/>
                <w:sz w:val="20"/>
                <w:szCs w:val="20"/>
                <w:lang w:val="en-US"/>
              </w:rPr>
              <w:t>at sub-national and school-site levels for ongoing site-based assessment and response preparedness as part of normal school management and improvement.</w:t>
            </w:r>
          </w:p>
          <w:p w:rsidR="00600AF4" w:rsidRPr="003A33CE" w:rsidRDefault="00600AF4" w:rsidP="003A33CE">
            <w:pPr>
              <w:pStyle w:val="ListParagraph"/>
              <w:numPr>
                <w:ilvl w:val="0"/>
                <w:numId w:val="7"/>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Empower school committees to lead identification and mapping of all hazards inside and outside school and community and action-planning for preparedness activities. Encourage participation of staff, students, parents and community stakeholders in this work.</w:t>
            </w:r>
          </w:p>
          <w:p w:rsidR="00600AF4" w:rsidRPr="003A33CE" w:rsidRDefault="00600AF4" w:rsidP="003A33CE">
            <w:pPr>
              <w:pStyle w:val="ListParagraph"/>
              <w:numPr>
                <w:ilvl w:val="0"/>
                <w:numId w:val="7"/>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Adapt standard operating procedures as needed, for hazards with and without warnings, including: drop cover and hold, building evacuation, evacuation to safe haven, shelter-in-place and lockdown, and safe family reunification.</w:t>
            </w:r>
          </w:p>
          <w:p w:rsidR="00600AF4" w:rsidRPr="003A33CE" w:rsidRDefault="00600AF4" w:rsidP="003A33CE">
            <w:pPr>
              <w:pStyle w:val="ListParagraph"/>
              <w:numPr>
                <w:ilvl w:val="0"/>
                <w:numId w:val="7"/>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Engage schools in making early warning and early action systems meaningful and effective.</w:t>
            </w:r>
          </w:p>
          <w:p w:rsidR="00600AF4" w:rsidRPr="003A33CE" w:rsidRDefault="00600AF4" w:rsidP="003A33CE">
            <w:pPr>
              <w:pStyle w:val="ListParagraph"/>
              <w:numPr>
                <w:ilvl w:val="0"/>
                <w:numId w:val="7"/>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Establish national and sub-national contingency plans, based on the Interagency Network for Education in Emergencies (INEE) Minimum Standards (2010), to support educational continuity, including plans and criteria to limit the temporary use of schools as temporary shelters</w:t>
            </w:r>
          </w:p>
          <w:p w:rsidR="00600AF4" w:rsidRPr="003A33CE" w:rsidRDefault="00600AF4" w:rsidP="003A33CE">
            <w:pPr>
              <w:pStyle w:val="ListParagraph"/>
              <w:numPr>
                <w:ilvl w:val="0"/>
                <w:numId w:val="7"/>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Identify alternate locations for temporary learning spaces and alternate modes of instruction.</w:t>
            </w:r>
          </w:p>
          <w:p w:rsidR="00600AF4" w:rsidRPr="003A33CE" w:rsidRDefault="00600AF4" w:rsidP="003A33CE">
            <w:pPr>
              <w:pStyle w:val="ListParagraph"/>
              <w:numPr>
                <w:ilvl w:val="0"/>
                <w:numId w:val="7"/>
              </w:numPr>
              <w:jc w:val="both"/>
              <w:rPr>
                <w:rFonts w:ascii="Arial" w:hAnsi="Arial" w:cs="Arial"/>
                <w:sz w:val="20"/>
                <w:szCs w:val="20"/>
              </w:rPr>
            </w:pPr>
            <w:r w:rsidRPr="003A33CE">
              <w:rPr>
                <w:rFonts w:ascii="Arial" w:eastAsiaTheme="minorEastAsia" w:hAnsi="Arial" w:cs="Arial"/>
                <w:sz w:val="20"/>
                <w:szCs w:val="20"/>
                <w:lang w:val="en-US"/>
              </w:rPr>
              <w:t>Practice, critically evaluate, and improve on response preparedness, with regular school-wide and community-linked simulation drills. Adapt standard operating procedures to specific context of each school.</w:t>
            </w:r>
          </w:p>
        </w:tc>
      </w:tr>
      <w:tr w:rsidR="0035729F" w:rsidRPr="003A33CE" w:rsidTr="0035729F">
        <w:trPr>
          <w:trHeight w:val="1115"/>
        </w:trPr>
        <w:tc>
          <w:tcPr>
            <w:tcW w:w="1530" w:type="dxa"/>
            <w:tcBorders>
              <w:top w:val="single" w:sz="4" w:space="0" w:color="auto"/>
              <w:bottom w:val="single" w:sz="4" w:space="0" w:color="auto"/>
            </w:tcBorders>
          </w:tcPr>
          <w:p w:rsidR="00600AF4" w:rsidRPr="003A33CE" w:rsidRDefault="00600AF4" w:rsidP="00BA395C">
            <w:pPr>
              <w:jc w:val="both"/>
              <w:rPr>
                <w:rFonts w:ascii="Arial" w:hAnsi="Arial" w:cs="Arial"/>
                <w:sz w:val="20"/>
                <w:szCs w:val="20"/>
              </w:rPr>
            </w:pPr>
          </w:p>
        </w:tc>
        <w:tc>
          <w:tcPr>
            <w:tcW w:w="1710" w:type="dxa"/>
            <w:tcBorders>
              <w:top w:val="single" w:sz="4" w:space="0" w:color="auto"/>
              <w:bottom w:val="single" w:sz="4" w:space="0" w:color="auto"/>
            </w:tcBorders>
          </w:tcPr>
          <w:p w:rsidR="00600AF4" w:rsidRPr="003A33CE" w:rsidRDefault="00600AF4" w:rsidP="00BA395C">
            <w:pPr>
              <w:jc w:val="both"/>
              <w:rPr>
                <w:rFonts w:ascii="Arial" w:hAnsi="Arial" w:cs="Arial"/>
                <w:sz w:val="20"/>
                <w:szCs w:val="20"/>
              </w:rPr>
            </w:pPr>
            <w:r w:rsidRPr="003A33CE">
              <w:rPr>
                <w:rFonts w:ascii="Arial" w:hAnsi="Arial" w:cs="Arial"/>
                <w:sz w:val="20"/>
                <w:szCs w:val="20"/>
              </w:rPr>
              <w:t>Enabling environment or DRR and Resilience education</w:t>
            </w:r>
          </w:p>
        </w:tc>
        <w:tc>
          <w:tcPr>
            <w:tcW w:w="6300" w:type="dxa"/>
            <w:tcBorders>
              <w:top w:val="single" w:sz="4" w:space="0" w:color="auto"/>
              <w:bottom w:val="single" w:sz="4" w:space="0" w:color="auto"/>
            </w:tcBorders>
          </w:tcPr>
          <w:p w:rsidR="00600AF4" w:rsidRPr="003A33CE" w:rsidRDefault="00600AF4" w:rsidP="003A33CE">
            <w:pPr>
              <w:pStyle w:val="ListParagraph"/>
              <w:numPr>
                <w:ilvl w:val="0"/>
                <w:numId w:val="8"/>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Develop consensus-based key messages for reducing household and community vulnerabilities, and for preparing for and responding to hazard impacts as a foundation for formal and non-formal education.</w:t>
            </w:r>
          </w:p>
          <w:p w:rsidR="00600AF4" w:rsidRPr="003A33CE" w:rsidRDefault="00600AF4" w:rsidP="003A33CE">
            <w:pPr>
              <w:pStyle w:val="ListParagraph"/>
              <w:numPr>
                <w:ilvl w:val="0"/>
                <w:numId w:val="8"/>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Develop scope and sequence for teaching about critical thinking for all hazards.</w:t>
            </w:r>
          </w:p>
          <w:p w:rsidR="00600AF4" w:rsidRPr="003A33CE" w:rsidRDefault="00600AF4" w:rsidP="003A33CE">
            <w:pPr>
              <w:pStyle w:val="ListParagraph"/>
              <w:numPr>
                <w:ilvl w:val="0"/>
                <w:numId w:val="8"/>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Infuse risk reduction throughout the curriculum and provide guidelines for integration of risk reduction and resilience into carrier subjects.</w:t>
            </w:r>
          </w:p>
          <w:p w:rsidR="00600AF4" w:rsidRPr="003A33CE" w:rsidRDefault="00600AF4" w:rsidP="003A33CE">
            <w:pPr>
              <w:pStyle w:val="ListParagraph"/>
              <w:numPr>
                <w:ilvl w:val="0"/>
                <w:numId w:val="8"/>
              </w:numPr>
              <w:jc w:val="both"/>
              <w:rPr>
                <w:rFonts w:ascii="Arial" w:eastAsiaTheme="minorEastAsia" w:hAnsi="Arial" w:cs="Arial"/>
                <w:sz w:val="20"/>
                <w:szCs w:val="20"/>
                <w:lang w:val="en-US"/>
              </w:rPr>
            </w:pPr>
            <w:r w:rsidRPr="003A33CE">
              <w:rPr>
                <w:rFonts w:ascii="Arial" w:eastAsiaTheme="minorEastAsia" w:hAnsi="Arial" w:cs="Arial"/>
                <w:sz w:val="20"/>
                <w:szCs w:val="20"/>
                <w:lang w:val="en-US"/>
              </w:rPr>
              <w:t>Develop quality teaching and learning materials for students and teachers.</w:t>
            </w:r>
          </w:p>
          <w:p w:rsidR="003A33CE" w:rsidRPr="003A33CE" w:rsidRDefault="003A33CE" w:rsidP="003A33CE">
            <w:pPr>
              <w:pStyle w:val="ListParagraph"/>
              <w:numPr>
                <w:ilvl w:val="0"/>
                <w:numId w:val="8"/>
              </w:numPr>
              <w:jc w:val="both"/>
              <w:rPr>
                <w:rFonts w:ascii="Arial" w:hAnsi="Arial" w:cs="Arial"/>
                <w:sz w:val="20"/>
                <w:szCs w:val="20"/>
              </w:rPr>
            </w:pPr>
            <w:r w:rsidRPr="003A33CE">
              <w:rPr>
                <w:rFonts w:ascii="Arial" w:eastAsiaTheme="minorEastAsia" w:hAnsi="Arial" w:cs="Arial"/>
                <w:sz w:val="20"/>
                <w:szCs w:val="20"/>
                <w:lang w:val="en-US"/>
              </w:rPr>
              <w:t>Provide teacher training for both teachers and teacher trainees on risk reduction curriculum materials and methodologies.</w:t>
            </w:r>
          </w:p>
        </w:tc>
      </w:tr>
    </w:tbl>
    <w:p w:rsidR="00AB0930" w:rsidRDefault="00AB0930" w:rsidP="00345156">
      <w:pPr>
        <w:spacing w:after="0" w:line="240" w:lineRule="auto"/>
        <w:jc w:val="both"/>
        <w:rPr>
          <w:rFonts w:ascii="Arial" w:hAnsi="Arial" w:cs="Arial"/>
          <w:sz w:val="20"/>
          <w:szCs w:val="20"/>
        </w:rPr>
      </w:pPr>
    </w:p>
    <w:p w:rsidR="00600AF4" w:rsidRPr="00DA4085" w:rsidRDefault="003A33CE" w:rsidP="00345156">
      <w:pPr>
        <w:spacing w:after="0" w:line="240" w:lineRule="auto"/>
        <w:jc w:val="both"/>
        <w:rPr>
          <w:rFonts w:ascii="Arial" w:hAnsi="Arial" w:cs="Arial"/>
          <w:b/>
          <w:sz w:val="20"/>
          <w:szCs w:val="20"/>
        </w:rPr>
      </w:pPr>
      <w:r w:rsidRPr="00DA4085">
        <w:rPr>
          <w:rFonts w:ascii="Arial" w:hAnsi="Arial" w:cs="Arial"/>
          <w:b/>
          <w:sz w:val="20"/>
          <w:szCs w:val="20"/>
        </w:rPr>
        <w:t>Reference documents</w:t>
      </w:r>
    </w:p>
    <w:p w:rsidR="003A33CE" w:rsidRDefault="003A33CE" w:rsidP="00345156">
      <w:pPr>
        <w:spacing w:after="0" w:line="240" w:lineRule="auto"/>
        <w:jc w:val="both"/>
        <w:rPr>
          <w:rFonts w:ascii="Arial" w:hAnsi="Arial" w:cs="Arial"/>
          <w:sz w:val="20"/>
          <w:szCs w:val="20"/>
        </w:rPr>
      </w:pPr>
    </w:p>
    <w:p w:rsidR="00FB013E" w:rsidRDefault="00AB0930" w:rsidP="00FB013E">
      <w:pPr>
        <w:spacing w:line="240" w:lineRule="auto"/>
        <w:jc w:val="both"/>
        <w:rPr>
          <w:rFonts w:ascii="Arial" w:hAnsi="Arial" w:cs="Arial"/>
          <w:sz w:val="20"/>
          <w:szCs w:val="20"/>
        </w:rPr>
      </w:pPr>
      <w:r w:rsidRPr="00FB013E">
        <w:rPr>
          <w:rFonts w:ascii="Arial" w:hAnsi="Arial" w:cs="Arial"/>
          <w:sz w:val="20"/>
          <w:szCs w:val="20"/>
        </w:rPr>
        <w:t>UNISDR and GADRR</w:t>
      </w:r>
      <w:r w:rsidR="00FB013E" w:rsidRPr="00FB013E">
        <w:rPr>
          <w:rFonts w:ascii="Arial" w:hAnsi="Arial" w:cs="Arial"/>
          <w:sz w:val="20"/>
          <w:szCs w:val="20"/>
        </w:rPr>
        <w:t xml:space="preserve">RES (2014), Comprehensive School Safety, </w:t>
      </w:r>
      <w:hyperlink r:id="rId16" w:history="1">
        <w:r w:rsidR="00FB013E" w:rsidRPr="00A26699">
          <w:rPr>
            <w:rStyle w:val="Hyperlink"/>
            <w:rFonts w:ascii="Arial" w:hAnsi="Arial" w:cs="Arial"/>
            <w:sz w:val="20"/>
            <w:szCs w:val="20"/>
          </w:rPr>
          <w:t>http://gadrrres.net/resources/comprehensive-school-safety-framework</w:t>
        </w:r>
      </w:hyperlink>
    </w:p>
    <w:p w:rsidR="003A33CE" w:rsidRDefault="00AB0930" w:rsidP="00FB013E">
      <w:pPr>
        <w:pStyle w:val="FootnoteText"/>
        <w:spacing w:after="200"/>
        <w:rPr>
          <w:rFonts w:ascii="Arial" w:hAnsi="Arial" w:cs="Arial"/>
        </w:rPr>
      </w:pPr>
      <w:r w:rsidRPr="00FB013E">
        <w:rPr>
          <w:rFonts w:ascii="Arial" w:hAnsi="Arial" w:cs="Arial"/>
        </w:rPr>
        <w:t>UNISDR,</w:t>
      </w:r>
      <w:r w:rsidR="00FB013E" w:rsidRPr="00FB013E">
        <w:rPr>
          <w:rFonts w:ascii="Arial" w:hAnsi="Arial" w:cs="Arial"/>
        </w:rPr>
        <w:t xml:space="preserve"> INEE and the World Bank,</w:t>
      </w:r>
      <w:r w:rsidRPr="00FB013E">
        <w:rPr>
          <w:rFonts w:ascii="Arial" w:hAnsi="Arial" w:cs="Arial"/>
        </w:rPr>
        <w:t xml:space="preserve"> Guidance Notes on Safer School, </w:t>
      </w:r>
      <w:hyperlink r:id="rId17" w:history="1">
        <w:r w:rsidR="00FB013E" w:rsidRPr="00A26699">
          <w:rPr>
            <w:rStyle w:val="Hyperlink"/>
            <w:rFonts w:ascii="Arial" w:hAnsi="Arial" w:cs="Arial"/>
          </w:rPr>
          <w:t>http://www.unisdr.org/files/11599_GuidanceNotesSafeSchools1.pdf</w:t>
        </w:r>
      </w:hyperlink>
    </w:p>
    <w:p w:rsidR="00AB0930" w:rsidRPr="00FB013E" w:rsidRDefault="00AB0930" w:rsidP="00FB013E">
      <w:pPr>
        <w:autoSpaceDE w:val="0"/>
        <w:autoSpaceDN w:val="0"/>
        <w:adjustRightInd w:val="0"/>
        <w:spacing w:line="240" w:lineRule="auto"/>
        <w:rPr>
          <w:rFonts w:ascii="Arial" w:hAnsi="Arial" w:cs="Arial"/>
          <w:bCs/>
          <w:sz w:val="20"/>
          <w:szCs w:val="20"/>
          <w:lang w:val="en-US"/>
        </w:rPr>
      </w:pPr>
      <w:r w:rsidRPr="00FB013E">
        <w:rPr>
          <w:rFonts w:ascii="Arial" w:hAnsi="Arial" w:cs="Arial"/>
          <w:bCs/>
          <w:sz w:val="20"/>
          <w:szCs w:val="20"/>
          <w:lang w:val="en-US"/>
        </w:rPr>
        <w:t xml:space="preserve">UNISDR, Disaster Prevention for Schools, Guidance for Education Sector Decision-Makers, 2008, </w:t>
      </w:r>
      <w:hyperlink r:id="rId18" w:history="1">
        <w:r w:rsidR="00FB013E" w:rsidRPr="00FB013E">
          <w:rPr>
            <w:rStyle w:val="Hyperlink"/>
            <w:rFonts w:ascii="Arial" w:hAnsi="Arial" w:cs="Arial"/>
            <w:bCs/>
            <w:sz w:val="20"/>
            <w:szCs w:val="20"/>
            <w:lang w:val="en-US"/>
          </w:rPr>
          <w:t>http://www.preventionweb.net/files/7344_DPforSchoolssm.pdf</w:t>
        </w:r>
      </w:hyperlink>
    </w:p>
    <w:p w:rsidR="00FB013E" w:rsidRDefault="00FB013E" w:rsidP="00FB013E">
      <w:pPr>
        <w:spacing w:line="240" w:lineRule="auto"/>
        <w:jc w:val="both"/>
        <w:rPr>
          <w:rFonts w:ascii="Arial" w:hAnsi="Arial" w:cs="Arial"/>
          <w:sz w:val="20"/>
          <w:szCs w:val="20"/>
          <w:lang w:val="en-US"/>
        </w:rPr>
      </w:pPr>
      <w:r w:rsidRPr="00FB013E">
        <w:rPr>
          <w:rFonts w:ascii="Arial" w:hAnsi="Arial" w:cs="Arial"/>
          <w:sz w:val="20"/>
          <w:szCs w:val="20"/>
          <w:lang w:val="en-US"/>
        </w:rPr>
        <w:t>UNISDR (2012), Assessing School Safety from Disasters, A Global Baseline</w:t>
      </w:r>
      <w:r>
        <w:rPr>
          <w:rFonts w:ascii="Arial" w:hAnsi="Arial" w:cs="Arial"/>
          <w:sz w:val="20"/>
          <w:szCs w:val="20"/>
          <w:lang w:val="en-US"/>
        </w:rPr>
        <w:t xml:space="preserve">, </w:t>
      </w:r>
      <w:hyperlink r:id="rId19" w:history="1">
        <w:r w:rsidRPr="00A26699">
          <w:rPr>
            <w:rStyle w:val="Hyperlink"/>
            <w:rFonts w:ascii="Arial" w:hAnsi="Arial" w:cs="Arial"/>
            <w:sz w:val="20"/>
            <w:szCs w:val="20"/>
            <w:lang w:val="en-US"/>
          </w:rPr>
          <w:t>http://www.unisdr.org/files/35274_2012schoolsafetyglobalbaseline.pdf</w:t>
        </w:r>
      </w:hyperlink>
    </w:p>
    <w:p w:rsidR="00AB0930" w:rsidRPr="00FB013E" w:rsidRDefault="00FB013E" w:rsidP="00FB013E">
      <w:pPr>
        <w:spacing w:line="240" w:lineRule="auto"/>
        <w:jc w:val="both"/>
        <w:rPr>
          <w:rFonts w:ascii="Arial" w:hAnsi="Arial" w:cs="Arial"/>
          <w:sz w:val="20"/>
          <w:szCs w:val="20"/>
          <w:lang w:val="en-US"/>
        </w:rPr>
      </w:pPr>
      <w:r>
        <w:rPr>
          <w:rFonts w:ascii="Arial" w:hAnsi="Arial" w:cs="Arial"/>
          <w:sz w:val="20"/>
          <w:szCs w:val="20"/>
          <w:lang w:val="en-US"/>
        </w:rPr>
        <w:lastRenderedPageBreak/>
        <w:t xml:space="preserve">The </w:t>
      </w:r>
      <w:r w:rsidR="00AB0930" w:rsidRPr="00FB013E">
        <w:rPr>
          <w:rFonts w:ascii="Arial" w:hAnsi="Arial" w:cs="Arial"/>
          <w:sz w:val="20"/>
          <w:szCs w:val="20"/>
          <w:lang w:val="en-US"/>
        </w:rPr>
        <w:t>World Bank</w:t>
      </w:r>
      <w:r>
        <w:rPr>
          <w:rFonts w:ascii="Arial" w:hAnsi="Arial" w:cs="Arial"/>
          <w:sz w:val="20"/>
          <w:szCs w:val="20"/>
          <w:lang w:val="en-US"/>
        </w:rPr>
        <w:t xml:space="preserve"> (2014)</w:t>
      </w:r>
      <w:r w:rsidR="00DA4085">
        <w:rPr>
          <w:rFonts w:ascii="Arial" w:hAnsi="Arial" w:cs="Arial"/>
          <w:sz w:val="20"/>
          <w:szCs w:val="20"/>
          <w:lang w:val="en-US"/>
        </w:rPr>
        <w:t>, Learning f</w:t>
      </w:r>
      <w:r w:rsidR="00AB0930" w:rsidRPr="00FB013E">
        <w:rPr>
          <w:rFonts w:ascii="Arial" w:hAnsi="Arial" w:cs="Arial"/>
          <w:sz w:val="20"/>
          <w:szCs w:val="20"/>
          <w:lang w:val="en-US"/>
        </w:rPr>
        <w:t>rom Mega Disasters,</w:t>
      </w:r>
      <w:r>
        <w:rPr>
          <w:rFonts w:ascii="Arial" w:hAnsi="Arial" w:cs="Arial"/>
          <w:sz w:val="20"/>
          <w:szCs w:val="20"/>
          <w:lang w:val="en-US"/>
        </w:rPr>
        <w:t xml:space="preserve">   </w:t>
      </w:r>
      <w:hyperlink r:id="rId20" w:history="1">
        <w:r w:rsidRPr="00FB013E">
          <w:rPr>
            <w:rStyle w:val="Hyperlink"/>
            <w:rFonts w:ascii="Arial" w:hAnsi="Arial" w:cs="Arial"/>
            <w:sz w:val="20"/>
            <w:szCs w:val="20"/>
            <w:lang w:val="en-US"/>
          </w:rPr>
          <w:t>https://openknowledge.worldbank.org/handle/10986/18864</w:t>
        </w:r>
      </w:hyperlink>
    </w:p>
    <w:p w:rsidR="00FB013E" w:rsidRPr="009B2E31" w:rsidRDefault="00DA4085" w:rsidP="009B2E31">
      <w:pPr>
        <w:pBdr>
          <w:bottom w:val="single" w:sz="4" w:space="1" w:color="auto"/>
        </w:pBdr>
        <w:spacing w:after="0" w:line="240" w:lineRule="auto"/>
        <w:jc w:val="both"/>
        <w:rPr>
          <w:rFonts w:ascii="Arial" w:hAnsi="Arial" w:cs="Arial"/>
          <w:b/>
          <w:sz w:val="20"/>
          <w:szCs w:val="20"/>
          <w:lang w:val="en-US"/>
        </w:rPr>
      </w:pPr>
      <w:r w:rsidRPr="009B2E31">
        <w:rPr>
          <w:rFonts w:ascii="Arial" w:hAnsi="Arial" w:cs="Arial"/>
          <w:b/>
          <w:sz w:val="20"/>
          <w:szCs w:val="20"/>
          <w:lang w:val="en-US"/>
        </w:rPr>
        <w:t>NUTRITION</w:t>
      </w:r>
      <w:r w:rsidR="00F7350F" w:rsidRPr="009B2E31">
        <w:rPr>
          <w:rFonts w:ascii="Arial" w:hAnsi="Arial" w:cs="Arial"/>
          <w:b/>
          <w:sz w:val="20"/>
          <w:szCs w:val="20"/>
          <w:lang w:val="en-US"/>
        </w:rPr>
        <w:t xml:space="preserve"> AND FOOD</w:t>
      </w:r>
      <w:r w:rsidR="001D33ED" w:rsidRPr="009B2E31">
        <w:rPr>
          <w:rFonts w:ascii="Arial" w:hAnsi="Arial" w:cs="Arial"/>
          <w:b/>
          <w:sz w:val="20"/>
          <w:szCs w:val="20"/>
          <w:lang w:val="en-US"/>
        </w:rPr>
        <w:t xml:space="preserve"> SECURITY</w:t>
      </w:r>
    </w:p>
    <w:p w:rsidR="0041775C" w:rsidRDefault="0041775C" w:rsidP="007C2014">
      <w:pPr>
        <w:pStyle w:val="Default"/>
        <w:jc w:val="both"/>
        <w:rPr>
          <w:bCs/>
          <w:sz w:val="20"/>
          <w:szCs w:val="20"/>
        </w:rPr>
      </w:pPr>
    </w:p>
    <w:p w:rsidR="001D33ED" w:rsidRPr="00914CC2" w:rsidRDefault="001D33ED" w:rsidP="001D33ED">
      <w:pPr>
        <w:autoSpaceDE w:val="0"/>
        <w:autoSpaceDN w:val="0"/>
        <w:adjustRightInd w:val="0"/>
        <w:spacing w:after="0" w:line="240" w:lineRule="auto"/>
        <w:jc w:val="both"/>
        <w:rPr>
          <w:rFonts w:ascii="Arial" w:hAnsi="Arial" w:cs="Arial"/>
          <w:b/>
          <w:sz w:val="20"/>
          <w:szCs w:val="20"/>
          <w:lang w:val="en-US"/>
        </w:rPr>
      </w:pPr>
      <w:r w:rsidRPr="00914CC2">
        <w:rPr>
          <w:rFonts w:ascii="Arial" w:hAnsi="Arial" w:cs="Arial"/>
          <w:b/>
          <w:sz w:val="20"/>
          <w:szCs w:val="20"/>
          <w:lang w:val="en-US"/>
        </w:rPr>
        <w:t>Goal and Objecti</w:t>
      </w:r>
      <w:r w:rsidR="0022079B">
        <w:rPr>
          <w:rFonts w:ascii="Arial" w:hAnsi="Arial" w:cs="Arial"/>
          <w:b/>
          <w:sz w:val="20"/>
          <w:szCs w:val="20"/>
          <w:lang w:val="en-US"/>
        </w:rPr>
        <w:t>ves of DRR mainstreaming in Food and Nutrition Security</w:t>
      </w:r>
      <w:r w:rsidRPr="00914CC2">
        <w:rPr>
          <w:rFonts w:ascii="Arial" w:hAnsi="Arial" w:cs="Arial"/>
          <w:b/>
          <w:sz w:val="20"/>
          <w:szCs w:val="20"/>
          <w:lang w:val="en-US"/>
        </w:rPr>
        <w:t xml:space="preserve"> recovery programming</w:t>
      </w:r>
    </w:p>
    <w:p w:rsidR="001D33ED" w:rsidRDefault="001D33ED" w:rsidP="007C2014">
      <w:pPr>
        <w:pStyle w:val="Default"/>
        <w:jc w:val="both"/>
        <w:rPr>
          <w:bCs/>
          <w:sz w:val="20"/>
          <w:szCs w:val="20"/>
        </w:rPr>
      </w:pPr>
    </w:p>
    <w:p w:rsidR="001D33ED" w:rsidRPr="00C76DF7" w:rsidRDefault="00974FF4" w:rsidP="00C76DF7">
      <w:pPr>
        <w:pStyle w:val="Default"/>
        <w:jc w:val="both"/>
        <w:rPr>
          <w:sz w:val="20"/>
          <w:szCs w:val="20"/>
        </w:rPr>
      </w:pPr>
      <w:r w:rsidRPr="001D33ED">
        <w:rPr>
          <w:bCs/>
          <w:sz w:val="20"/>
          <w:szCs w:val="20"/>
        </w:rPr>
        <w:t xml:space="preserve">Disasters </w:t>
      </w:r>
      <w:r w:rsidR="00C76DF7">
        <w:rPr>
          <w:sz w:val="20"/>
          <w:szCs w:val="20"/>
        </w:rPr>
        <w:t xml:space="preserve">exacerbate malnutrition. </w:t>
      </w:r>
      <w:r w:rsidRPr="001D33ED">
        <w:rPr>
          <w:sz w:val="20"/>
          <w:szCs w:val="20"/>
        </w:rPr>
        <w:t>Whilst in a disaster everybody can be at risk of malnutrition, infants, young children, and pregnant and lactating women are particularly vulnerable.</w:t>
      </w:r>
      <w:r w:rsidR="00C76DF7">
        <w:rPr>
          <w:sz w:val="20"/>
          <w:szCs w:val="20"/>
        </w:rPr>
        <w:t xml:space="preserve"> The goal of mainstreaming DRR in nutrition and food security is to protect</w:t>
      </w:r>
      <w:r w:rsidR="001D33ED" w:rsidRPr="001D33ED">
        <w:rPr>
          <w:sz w:val="20"/>
          <w:szCs w:val="20"/>
        </w:rPr>
        <w:t xml:space="preserve"> development investments in the agriculture, livestock,</w:t>
      </w:r>
      <w:r w:rsidR="001D33ED">
        <w:rPr>
          <w:sz w:val="20"/>
          <w:szCs w:val="20"/>
        </w:rPr>
        <w:t xml:space="preserve"> </w:t>
      </w:r>
      <w:r w:rsidR="001D33ED" w:rsidRPr="001D33ED">
        <w:rPr>
          <w:sz w:val="20"/>
          <w:szCs w:val="20"/>
        </w:rPr>
        <w:t xml:space="preserve">fisheries/aquaculture and forestry sectors, </w:t>
      </w:r>
      <w:r w:rsidR="00C76DF7">
        <w:rPr>
          <w:sz w:val="20"/>
          <w:szCs w:val="20"/>
        </w:rPr>
        <w:t xml:space="preserve">thereby </w:t>
      </w:r>
      <w:r w:rsidR="001D33ED" w:rsidRPr="001D33ED">
        <w:rPr>
          <w:sz w:val="20"/>
          <w:szCs w:val="20"/>
        </w:rPr>
        <w:t>helping the world’s most vulnerable people</w:t>
      </w:r>
      <w:r w:rsidR="001D33ED">
        <w:rPr>
          <w:sz w:val="20"/>
          <w:szCs w:val="20"/>
        </w:rPr>
        <w:t xml:space="preserve"> </w:t>
      </w:r>
      <w:r w:rsidR="001D33ED" w:rsidRPr="001D33ED">
        <w:rPr>
          <w:sz w:val="20"/>
          <w:szCs w:val="20"/>
        </w:rPr>
        <w:t>become food secure.</w:t>
      </w:r>
    </w:p>
    <w:p w:rsidR="00974FF4" w:rsidRDefault="00974FF4" w:rsidP="007C2014">
      <w:pPr>
        <w:pStyle w:val="Default"/>
        <w:rPr>
          <w:sz w:val="20"/>
          <w:szCs w:val="20"/>
        </w:rPr>
      </w:pPr>
    </w:p>
    <w:p w:rsidR="00C76DF7" w:rsidRDefault="00C76DF7" w:rsidP="007C2014">
      <w:pPr>
        <w:pStyle w:val="Default"/>
        <w:rPr>
          <w:sz w:val="20"/>
          <w:szCs w:val="20"/>
        </w:rPr>
      </w:pPr>
      <w:r>
        <w:rPr>
          <w:sz w:val="20"/>
          <w:szCs w:val="20"/>
        </w:rPr>
        <w:t xml:space="preserve">There </w:t>
      </w:r>
      <w:r w:rsidR="00F7350F">
        <w:rPr>
          <w:sz w:val="20"/>
          <w:szCs w:val="20"/>
        </w:rPr>
        <w:t xml:space="preserve">are </w:t>
      </w:r>
      <w:r>
        <w:rPr>
          <w:sz w:val="20"/>
          <w:szCs w:val="20"/>
        </w:rPr>
        <w:t>four recognized approaches to mainstreaming DRR in food and nutrition security</w:t>
      </w:r>
      <w:r w:rsidR="00F7350F">
        <w:rPr>
          <w:sz w:val="20"/>
          <w:szCs w:val="20"/>
        </w:rPr>
        <w:t xml:space="preserve"> (FAO)</w:t>
      </w:r>
      <w:r>
        <w:rPr>
          <w:sz w:val="20"/>
          <w:szCs w:val="20"/>
        </w:rPr>
        <w:t>:</w:t>
      </w:r>
    </w:p>
    <w:p w:rsidR="00C76DF7" w:rsidRPr="00C76DF7" w:rsidRDefault="00F7350F" w:rsidP="00C76DF7">
      <w:pPr>
        <w:pStyle w:val="Default"/>
        <w:numPr>
          <w:ilvl w:val="0"/>
          <w:numId w:val="15"/>
        </w:numPr>
        <w:rPr>
          <w:iCs/>
          <w:color w:val="auto"/>
          <w:sz w:val="20"/>
          <w:szCs w:val="20"/>
        </w:rPr>
      </w:pPr>
      <w:r>
        <w:rPr>
          <w:iCs/>
          <w:color w:val="auto"/>
          <w:sz w:val="20"/>
          <w:szCs w:val="20"/>
        </w:rPr>
        <w:t>Enabling environment: i</w:t>
      </w:r>
      <w:r w:rsidR="00C76DF7" w:rsidRPr="00C76DF7">
        <w:rPr>
          <w:iCs/>
          <w:color w:val="auto"/>
          <w:sz w:val="20"/>
          <w:szCs w:val="20"/>
        </w:rPr>
        <w:t>nstitutional strengthening and good governance for DRR in agricultural sectors</w:t>
      </w:r>
    </w:p>
    <w:p w:rsidR="00F7350F" w:rsidRDefault="00F7350F" w:rsidP="001B3C27">
      <w:pPr>
        <w:pStyle w:val="ListParagraph"/>
        <w:numPr>
          <w:ilvl w:val="0"/>
          <w:numId w:val="15"/>
        </w:numPr>
        <w:autoSpaceDE w:val="0"/>
        <w:autoSpaceDN w:val="0"/>
        <w:adjustRightInd w:val="0"/>
        <w:spacing w:after="0" w:line="240" w:lineRule="auto"/>
        <w:rPr>
          <w:rFonts w:ascii="Arial" w:hAnsi="Arial" w:cs="Arial"/>
          <w:iCs/>
          <w:sz w:val="20"/>
          <w:szCs w:val="20"/>
          <w:lang w:val="en-US"/>
        </w:rPr>
      </w:pPr>
      <w:r>
        <w:rPr>
          <w:rFonts w:ascii="Arial" w:hAnsi="Arial" w:cs="Arial"/>
          <w:iCs/>
          <w:sz w:val="20"/>
          <w:szCs w:val="20"/>
          <w:lang w:val="en-US"/>
        </w:rPr>
        <w:t>Watch to safeguard: i</w:t>
      </w:r>
      <w:r w:rsidR="00C76DF7" w:rsidRPr="00F7350F">
        <w:rPr>
          <w:rFonts w:ascii="Arial" w:hAnsi="Arial" w:cs="Arial"/>
          <w:iCs/>
          <w:sz w:val="20"/>
          <w:szCs w:val="20"/>
          <w:lang w:val="en-US"/>
        </w:rPr>
        <w:t xml:space="preserve">nformation and early warning systems on food and nutrition security </w:t>
      </w:r>
    </w:p>
    <w:p w:rsidR="00C76DF7" w:rsidRPr="00F7350F" w:rsidRDefault="00F7350F" w:rsidP="001B3C27">
      <w:pPr>
        <w:pStyle w:val="ListParagraph"/>
        <w:numPr>
          <w:ilvl w:val="0"/>
          <w:numId w:val="15"/>
        </w:numPr>
        <w:autoSpaceDE w:val="0"/>
        <w:autoSpaceDN w:val="0"/>
        <w:adjustRightInd w:val="0"/>
        <w:spacing w:after="0" w:line="240" w:lineRule="auto"/>
        <w:rPr>
          <w:rFonts w:ascii="Arial" w:hAnsi="Arial" w:cs="Arial"/>
          <w:iCs/>
          <w:sz w:val="20"/>
          <w:szCs w:val="20"/>
          <w:lang w:val="en-US"/>
        </w:rPr>
      </w:pPr>
      <w:r>
        <w:rPr>
          <w:rFonts w:ascii="Arial" w:hAnsi="Arial" w:cs="Arial"/>
          <w:iCs/>
          <w:sz w:val="20"/>
          <w:szCs w:val="20"/>
          <w:lang w:val="en-US"/>
        </w:rPr>
        <w:t>Prevention and mitigation: p</w:t>
      </w:r>
      <w:r w:rsidR="00C76DF7" w:rsidRPr="00F7350F">
        <w:rPr>
          <w:rFonts w:ascii="Arial" w:hAnsi="Arial" w:cs="Arial"/>
          <w:iCs/>
          <w:sz w:val="20"/>
          <w:szCs w:val="20"/>
          <w:lang w:val="en-US"/>
        </w:rPr>
        <w:t>romotion and diversification of livelihoods with risk reducing technologies, approaches and practices across all agricultural sectors.</w:t>
      </w:r>
    </w:p>
    <w:p w:rsidR="00C76DF7" w:rsidRDefault="00F7350F" w:rsidP="00C76DF7">
      <w:pPr>
        <w:pStyle w:val="ListParagraph"/>
        <w:numPr>
          <w:ilvl w:val="0"/>
          <w:numId w:val="15"/>
        </w:numPr>
        <w:autoSpaceDE w:val="0"/>
        <w:autoSpaceDN w:val="0"/>
        <w:adjustRightInd w:val="0"/>
        <w:spacing w:after="0" w:line="240" w:lineRule="auto"/>
        <w:rPr>
          <w:rFonts w:ascii="Arial" w:hAnsi="Arial" w:cs="Arial"/>
          <w:iCs/>
          <w:sz w:val="20"/>
          <w:szCs w:val="20"/>
          <w:lang w:val="en-US"/>
        </w:rPr>
      </w:pPr>
      <w:r>
        <w:rPr>
          <w:rFonts w:ascii="Arial" w:hAnsi="Arial" w:cs="Arial"/>
          <w:iCs/>
          <w:sz w:val="20"/>
          <w:szCs w:val="20"/>
          <w:lang w:val="en-US"/>
        </w:rPr>
        <w:t>Preparedness: p</w:t>
      </w:r>
      <w:r w:rsidR="00C76DF7" w:rsidRPr="00C76DF7">
        <w:rPr>
          <w:rFonts w:ascii="Arial" w:hAnsi="Arial" w:cs="Arial"/>
          <w:iCs/>
          <w:sz w:val="20"/>
          <w:szCs w:val="20"/>
          <w:lang w:val="en-US"/>
        </w:rPr>
        <w:t>reparedness for effective response and recovery across all agricultural sectors</w:t>
      </w:r>
    </w:p>
    <w:p w:rsidR="00C236F0" w:rsidRPr="00C236F0" w:rsidRDefault="00C236F0" w:rsidP="00C236F0">
      <w:pPr>
        <w:autoSpaceDE w:val="0"/>
        <w:autoSpaceDN w:val="0"/>
        <w:adjustRightInd w:val="0"/>
        <w:spacing w:after="0" w:line="240" w:lineRule="auto"/>
        <w:rPr>
          <w:rFonts w:ascii="Arial" w:hAnsi="Arial" w:cs="Arial"/>
          <w:iCs/>
          <w:sz w:val="20"/>
          <w:szCs w:val="20"/>
          <w:lang w:val="en-US"/>
        </w:rPr>
      </w:pPr>
      <w:r w:rsidRPr="00C236F0">
        <w:rPr>
          <w:rFonts w:ascii="Arial" w:hAnsi="Arial" w:cs="Arial"/>
          <w:iCs/>
          <w:noProof/>
          <w:sz w:val="20"/>
          <w:szCs w:val="20"/>
          <w:lang w:val="en-US"/>
        </w:rPr>
        <w:drawing>
          <wp:inline distT="0" distB="0" distL="0" distR="0">
            <wp:extent cx="5731510" cy="40960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096060"/>
                    </a:xfrm>
                    <a:prstGeom prst="rect">
                      <a:avLst/>
                    </a:prstGeom>
                    <a:noFill/>
                    <a:ln>
                      <a:noFill/>
                    </a:ln>
                  </pic:spPr>
                </pic:pic>
              </a:graphicData>
            </a:graphic>
          </wp:inline>
        </w:drawing>
      </w:r>
    </w:p>
    <w:p w:rsidR="00C76DF7" w:rsidRDefault="00C76DF7" w:rsidP="00C76DF7">
      <w:pPr>
        <w:pStyle w:val="Default"/>
        <w:rPr>
          <w:sz w:val="20"/>
          <w:szCs w:val="20"/>
        </w:rPr>
      </w:pPr>
    </w:p>
    <w:p w:rsidR="00F7350F" w:rsidRPr="00DA4085" w:rsidRDefault="00F7350F" w:rsidP="00F7350F">
      <w:pPr>
        <w:spacing w:after="0" w:line="240" w:lineRule="auto"/>
        <w:jc w:val="both"/>
        <w:rPr>
          <w:rFonts w:ascii="Arial" w:hAnsi="Arial" w:cs="Arial"/>
          <w:b/>
          <w:sz w:val="20"/>
          <w:szCs w:val="20"/>
          <w:lang w:val="en-US"/>
        </w:rPr>
      </w:pPr>
      <w:r w:rsidRPr="00DA4085">
        <w:rPr>
          <w:rFonts w:ascii="Arial" w:hAnsi="Arial" w:cs="Arial"/>
          <w:b/>
          <w:sz w:val="20"/>
          <w:szCs w:val="20"/>
          <w:lang w:val="en-US"/>
        </w:rPr>
        <w:t xml:space="preserve">Examples of measures that support the mainstreaming of DRR in </w:t>
      </w:r>
      <w:r>
        <w:rPr>
          <w:rFonts w:ascii="Arial" w:hAnsi="Arial" w:cs="Arial"/>
          <w:b/>
          <w:sz w:val="20"/>
          <w:szCs w:val="20"/>
          <w:lang w:val="en-US"/>
        </w:rPr>
        <w:t>Food and Nutrition Security</w:t>
      </w:r>
    </w:p>
    <w:p w:rsidR="00F7350F" w:rsidRPr="00893B59" w:rsidRDefault="00F7350F" w:rsidP="00F7350F">
      <w:pPr>
        <w:spacing w:after="0" w:line="240" w:lineRule="auto"/>
        <w:jc w:val="both"/>
        <w:rPr>
          <w:rFonts w:ascii="Arial" w:hAnsi="Arial" w:cs="Arial"/>
          <w:sz w:val="20"/>
          <w:szCs w:val="20"/>
          <w:lang w:val="en-US"/>
        </w:rPr>
      </w:pPr>
    </w:p>
    <w:tbl>
      <w:tblPr>
        <w:tblStyle w:val="TableGrid"/>
        <w:tblW w:w="918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6930"/>
      </w:tblGrid>
      <w:tr w:rsidR="00F7350F" w:rsidRPr="0035729F" w:rsidTr="00F7350F">
        <w:tc>
          <w:tcPr>
            <w:tcW w:w="2255" w:type="dxa"/>
            <w:tcBorders>
              <w:bottom w:val="single" w:sz="4" w:space="0" w:color="auto"/>
            </w:tcBorders>
            <w:shd w:val="clear" w:color="auto" w:fill="D9D9D9" w:themeFill="background1" w:themeFillShade="D9"/>
          </w:tcPr>
          <w:p w:rsidR="00F7350F" w:rsidRPr="0035729F" w:rsidRDefault="00F7350F" w:rsidP="00550E56">
            <w:pPr>
              <w:jc w:val="center"/>
              <w:rPr>
                <w:rFonts w:ascii="Arial" w:hAnsi="Arial" w:cs="Arial"/>
                <w:b/>
                <w:sz w:val="20"/>
                <w:szCs w:val="20"/>
              </w:rPr>
            </w:pPr>
            <w:r w:rsidRPr="0035729F">
              <w:rPr>
                <w:rFonts w:ascii="Arial" w:hAnsi="Arial" w:cs="Arial"/>
                <w:b/>
                <w:sz w:val="20"/>
                <w:szCs w:val="20"/>
              </w:rPr>
              <w:t>Scope of action</w:t>
            </w:r>
          </w:p>
        </w:tc>
        <w:tc>
          <w:tcPr>
            <w:tcW w:w="6930" w:type="dxa"/>
            <w:tcBorders>
              <w:bottom w:val="single" w:sz="4" w:space="0" w:color="auto"/>
            </w:tcBorders>
            <w:shd w:val="clear" w:color="auto" w:fill="D9D9D9" w:themeFill="background1" w:themeFillShade="D9"/>
          </w:tcPr>
          <w:p w:rsidR="00F7350F" w:rsidRPr="0035729F" w:rsidRDefault="00F7350F" w:rsidP="00F7350F">
            <w:pPr>
              <w:jc w:val="center"/>
              <w:rPr>
                <w:rFonts w:ascii="Arial" w:hAnsi="Arial" w:cs="Arial"/>
                <w:b/>
                <w:sz w:val="20"/>
                <w:szCs w:val="20"/>
              </w:rPr>
            </w:pPr>
            <w:r w:rsidRPr="0035729F">
              <w:rPr>
                <w:rFonts w:ascii="Arial" w:hAnsi="Arial" w:cs="Arial"/>
                <w:b/>
                <w:sz w:val="20"/>
                <w:szCs w:val="20"/>
              </w:rPr>
              <w:t xml:space="preserve">Specific </w:t>
            </w:r>
            <w:r>
              <w:rPr>
                <w:rFonts w:ascii="Arial" w:hAnsi="Arial" w:cs="Arial"/>
                <w:b/>
                <w:sz w:val="20"/>
                <w:szCs w:val="20"/>
              </w:rPr>
              <w:t>food and nutrition security</w:t>
            </w:r>
            <w:r w:rsidRPr="0035729F">
              <w:rPr>
                <w:rFonts w:ascii="Arial" w:hAnsi="Arial" w:cs="Arial"/>
                <w:b/>
                <w:sz w:val="20"/>
                <w:szCs w:val="20"/>
              </w:rPr>
              <w:t xml:space="preserve"> examples</w:t>
            </w:r>
          </w:p>
        </w:tc>
      </w:tr>
      <w:tr w:rsidR="00F7350F" w:rsidRPr="003A33CE" w:rsidTr="00F7350F">
        <w:tc>
          <w:tcPr>
            <w:tcW w:w="2255" w:type="dxa"/>
            <w:tcBorders>
              <w:top w:val="single" w:sz="4" w:space="0" w:color="auto"/>
              <w:bottom w:val="single" w:sz="4" w:space="0" w:color="auto"/>
            </w:tcBorders>
          </w:tcPr>
          <w:p w:rsidR="00F7350F" w:rsidRPr="003A33CE" w:rsidRDefault="00F7350F" w:rsidP="00550E56">
            <w:pPr>
              <w:jc w:val="both"/>
              <w:rPr>
                <w:rFonts w:ascii="Arial" w:hAnsi="Arial" w:cs="Arial"/>
                <w:sz w:val="20"/>
                <w:szCs w:val="20"/>
              </w:rPr>
            </w:pPr>
            <w:r>
              <w:rPr>
                <w:rFonts w:ascii="Arial" w:hAnsi="Arial" w:cs="Arial"/>
                <w:sz w:val="20"/>
                <w:szCs w:val="20"/>
              </w:rPr>
              <w:t>Enabling environment</w:t>
            </w:r>
          </w:p>
        </w:tc>
        <w:tc>
          <w:tcPr>
            <w:tcW w:w="6930" w:type="dxa"/>
            <w:tcBorders>
              <w:top w:val="single" w:sz="4" w:space="0" w:color="auto"/>
              <w:bottom w:val="single" w:sz="4" w:space="0" w:color="auto"/>
            </w:tcBorders>
          </w:tcPr>
          <w:p w:rsidR="00F7350F" w:rsidRPr="001E1F12" w:rsidRDefault="00F7350F" w:rsidP="001E1F12">
            <w:pPr>
              <w:pStyle w:val="ListParagraph"/>
              <w:numPr>
                <w:ilvl w:val="0"/>
                <w:numId w:val="16"/>
              </w:numPr>
              <w:autoSpaceDE w:val="0"/>
              <w:autoSpaceDN w:val="0"/>
              <w:adjustRightInd w:val="0"/>
              <w:jc w:val="both"/>
              <w:rPr>
                <w:rFonts w:ascii="Arial" w:hAnsi="Arial" w:cs="Arial"/>
                <w:color w:val="000000"/>
                <w:sz w:val="20"/>
                <w:szCs w:val="20"/>
                <w:lang w:val="en-US"/>
              </w:rPr>
            </w:pPr>
            <w:r w:rsidRPr="001E1F12">
              <w:rPr>
                <w:rFonts w:ascii="Arial" w:hAnsi="Arial" w:cs="Arial"/>
                <w:color w:val="000000"/>
                <w:sz w:val="20"/>
                <w:szCs w:val="20"/>
                <w:lang w:val="en-US"/>
              </w:rPr>
              <w:t xml:space="preserve">Risk-informed policies and institutional frameworks for food and nutrition security in agriculture, livestock, fisheries/aquaculture, forestry </w:t>
            </w:r>
            <w:r w:rsidR="001E1F12">
              <w:rPr>
                <w:rFonts w:ascii="Arial" w:hAnsi="Arial" w:cs="Arial"/>
                <w:color w:val="000000"/>
                <w:sz w:val="20"/>
                <w:szCs w:val="20"/>
                <w:lang w:val="en-US"/>
              </w:rPr>
              <w:t>and natural resource management;</w:t>
            </w:r>
            <w:r w:rsidRPr="001E1F12">
              <w:rPr>
                <w:rFonts w:ascii="Arial" w:hAnsi="Arial" w:cs="Arial"/>
                <w:color w:val="000000"/>
                <w:sz w:val="20"/>
                <w:szCs w:val="20"/>
                <w:lang w:val="en-US"/>
              </w:rPr>
              <w:t xml:space="preserve"> </w:t>
            </w:r>
          </w:p>
          <w:p w:rsidR="00F7350F" w:rsidRPr="001E1F12" w:rsidRDefault="00F7350F" w:rsidP="001E1F12">
            <w:pPr>
              <w:pStyle w:val="ListParagraph"/>
              <w:numPr>
                <w:ilvl w:val="0"/>
                <w:numId w:val="16"/>
              </w:numPr>
              <w:autoSpaceDE w:val="0"/>
              <w:autoSpaceDN w:val="0"/>
              <w:adjustRightInd w:val="0"/>
              <w:jc w:val="both"/>
              <w:rPr>
                <w:rFonts w:ascii="Arial" w:hAnsi="Arial" w:cs="Arial"/>
                <w:color w:val="000000"/>
                <w:sz w:val="20"/>
                <w:szCs w:val="20"/>
                <w:lang w:val="en-US"/>
              </w:rPr>
            </w:pPr>
            <w:r w:rsidRPr="001E1F12">
              <w:rPr>
                <w:rFonts w:ascii="Arial" w:hAnsi="Arial" w:cs="Arial"/>
                <w:color w:val="000000"/>
                <w:sz w:val="20"/>
                <w:szCs w:val="20"/>
                <w:lang w:val="en-US"/>
              </w:rPr>
              <w:t>Strengthening of the institutional capacities to implement policies and frameworks.</w:t>
            </w:r>
          </w:p>
        </w:tc>
      </w:tr>
      <w:tr w:rsidR="00F7350F" w:rsidRPr="003A33CE" w:rsidTr="00F7350F">
        <w:tc>
          <w:tcPr>
            <w:tcW w:w="2255" w:type="dxa"/>
            <w:tcBorders>
              <w:top w:val="single" w:sz="4" w:space="0" w:color="auto"/>
              <w:bottom w:val="single" w:sz="4" w:space="0" w:color="auto"/>
            </w:tcBorders>
          </w:tcPr>
          <w:p w:rsidR="00F7350F" w:rsidRPr="003A33CE" w:rsidRDefault="00F7350F" w:rsidP="00550E56">
            <w:pPr>
              <w:jc w:val="both"/>
              <w:rPr>
                <w:rFonts w:ascii="Arial" w:hAnsi="Arial" w:cs="Arial"/>
                <w:sz w:val="20"/>
                <w:szCs w:val="20"/>
              </w:rPr>
            </w:pPr>
            <w:r>
              <w:rPr>
                <w:rFonts w:ascii="Arial" w:hAnsi="Arial" w:cs="Arial"/>
                <w:sz w:val="20"/>
                <w:szCs w:val="20"/>
              </w:rPr>
              <w:lastRenderedPageBreak/>
              <w:t>Watch to safeguard</w:t>
            </w:r>
          </w:p>
        </w:tc>
        <w:tc>
          <w:tcPr>
            <w:tcW w:w="6930" w:type="dxa"/>
            <w:tcBorders>
              <w:top w:val="single" w:sz="4" w:space="0" w:color="auto"/>
              <w:bottom w:val="single" w:sz="4" w:space="0" w:color="auto"/>
            </w:tcBorders>
          </w:tcPr>
          <w:p w:rsidR="00F7350F" w:rsidRPr="001E1F12" w:rsidRDefault="001E1F12" w:rsidP="001E1F12">
            <w:pPr>
              <w:pStyle w:val="ListParagraph"/>
              <w:numPr>
                <w:ilvl w:val="0"/>
                <w:numId w:val="17"/>
              </w:numPr>
              <w:autoSpaceDE w:val="0"/>
              <w:autoSpaceDN w:val="0"/>
              <w:adjustRightInd w:val="0"/>
              <w:jc w:val="both"/>
              <w:rPr>
                <w:rFonts w:ascii="Arial" w:hAnsi="Arial" w:cs="Arial"/>
                <w:color w:val="000000"/>
                <w:sz w:val="20"/>
                <w:szCs w:val="20"/>
                <w:lang w:val="en-US"/>
              </w:rPr>
            </w:pPr>
            <w:r w:rsidRPr="001E1F12">
              <w:rPr>
                <w:rFonts w:ascii="Arial" w:hAnsi="Arial" w:cs="Arial"/>
                <w:color w:val="000000"/>
                <w:sz w:val="20"/>
                <w:szCs w:val="20"/>
              </w:rPr>
              <w:t>S</w:t>
            </w:r>
            <w:proofErr w:type="spellStart"/>
            <w:r w:rsidRPr="001E1F12">
              <w:rPr>
                <w:rFonts w:ascii="Arial" w:hAnsi="Arial" w:cs="Arial"/>
                <w:color w:val="000000"/>
                <w:sz w:val="20"/>
                <w:szCs w:val="20"/>
                <w:lang w:val="en-US"/>
              </w:rPr>
              <w:t>trengthen</w:t>
            </w:r>
            <w:proofErr w:type="spellEnd"/>
            <w:r w:rsidR="00F7350F" w:rsidRPr="001E1F12">
              <w:rPr>
                <w:rFonts w:ascii="Arial" w:hAnsi="Arial" w:cs="Arial"/>
                <w:color w:val="000000"/>
                <w:sz w:val="20"/>
                <w:szCs w:val="20"/>
                <w:lang w:val="en-US"/>
              </w:rPr>
              <w:t xml:space="preserve"> and harmonize food and nutrition security information</w:t>
            </w:r>
            <w:r w:rsidRPr="001E1F12">
              <w:rPr>
                <w:rFonts w:ascii="Arial" w:hAnsi="Arial" w:cs="Arial"/>
                <w:color w:val="000000"/>
                <w:sz w:val="20"/>
                <w:szCs w:val="20"/>
                <w:lang w:val="en-US"/>
              </w:rPr>
              <w:t xml:space="preserve"> </w:t>
            </w:r>
            <w:r w:rsidR="00F7350F" w:rsidRPr="001E1F12">
              <w:rPr>
                <w:rFonts w:ascii="Arial" w:hAnsi="Arial" w:cs="Arial"/>
                <w:color w:val="000000"/>
                <w:sz w:val="20"/>
                <w:szCs w:val="20"/>
                <w:lang w:val="en-US"/>
              </w:rPr>
              <w:t>and early warning systems to better monitor the multiple threats and inform decision-making</w:t>
            </w:r>
            <w:r>
              <w:rPr>
                <w:rFonts w:ascii="Arial" w:hAnsi="Arial" w:cs="Arial"/>
                <w:color w:val="000000"/>
                <w:sz w:val="20"/>
                <w:szCs w:val="20"/>
                <w:lang w:val="en-US"/>
              </w:rPr>
              <w:t>;</w:t>
            </w:r>
          </w:p>
          <w:p w:rsidR="00F7350F" w:rsidRPr="003A33CE" w:rsidRDefault="00F7350F" w:rsidP="00550E56">
            <w:pPr>
              <w:pStyle w:val="ListParagraph"/>
              <w:numPr>
                <w:ilvl w:val="0"/>
                <w:numId w:val="7"/>
              </w:numPr>
              <w:jc w:val="both"/>
              <w:rPr>
                <w:rFonts w:ascii="Arial" w:hAnsi="Arial" w:cs="Arial"/>
                <w:sz w:val="20"/>
                <w:szCs w:val="20"/>
              </w:rPr>
            </w:pPr>
            <w:r w:rsidRPr="00F7350F">
              <w:rPr>
                <w:rFonts w:ascii="Arial" w:hAnsi="Arial" w:cs="Arial"/>
                <w:color w:val="000000"/>
                <w:sz w:val="20"/>
                <w:szCs w:val="20"/>
                <w:lang w:val="en-US"/>
              </w:rPr>
              <w:t>Establish and strengthen ongoing nutrition assessment/ surveillance mechanism.</w:t>
            </w:r>
          </w:p>
        </w:tc>
      </w:tr>
      <w:tr w:rsidR="00F7350F" w:rsidRPr="003A33CE" w:rsidTr="00F7350F">
        <w:trPr>
          <w:trHeight w:val="503"/>
        </w:trPr>
        <w:tc>
          <w:tcPr>
            <w:tcW w:w="2255" w:type="dxa"/>
            <w:tcBorders>
              <w:top w:val="single" w:sz="4" w:space="0" w:color="auto"/>
              <w:bottom w:val="single" w:sz="4" w:space="0" w:color="auto"/>
            </w:tcBorders>
          </w:tcPr>
          <w:p w:rsidR="00F7350F" w:rsidRPr="003A33CE" w:rsidRDefault="00F7350F" w:rsidP="00550E56">
            <w:pPr>
              <w:jc w:val="both"/>
              <w:rPr>
                <w:rFonts w:ascii="Arial" w:hAnsi="Arial" w:cs="Arial"/>
                <w:sz w:val="20"/>
                <w:szCs w:val="20"/>
              </w:rPr>
            </w:pPr>
            <w:r>
              <w:rPr>
                <w:rFonts w:ascii="Arial" w:hAnsi="Arial" w:cs="Arial"/>
                <w:sz w:val="20"/>
                <w:szCs w:val="20"/>
              </w:rPr>
              <w:t>Prevention and mitigation</w:t>
            </w:r>
          </w:p>
        </w:tc>
        <w:tc>
          <w:tcPr>
            <w:tcW w:w="6930" w:type="dxa"/>
            <w:tcBorders>
              <w:top w:val="single" w:sz="4" w:space="0" w:color="auto"/>
              <w:bottom w:val="single" w:sz="4" w:space="0" w:color="auto"/>
            </w:tcBorders>
          </w:tcPr>
          <w:p w:rsidR="001E1F12" w:rsidRPr="00C236F0" w:rsidRDefault="001E1F12"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Improve </w:t>
            </w:r>
            <w:r w:rsidR="009B2E31" w:rsidRPr="00C236F0">
              <w:rPr>
                <w:rFonts w:ascii="Arial" w:hAnsi="Arial" w:cs="Arial"/>
                <w:color w:val="000000"/>
                <w:sz w:val="20"/>
                <w:szCs w:val="20"/>
                <w:lang w:val="en-US"/>
              </w:rPr>
              <w:t>managemen</w:t>
            </w:r>
            <w:r w:rsidR="00C236F0" w:rsidRPr="00C236F0">
              <w:rPr>
                <w:rFonts w:ascii="Arial" w:hAnsi="Arial" w:cs="Arial"/>
                <w:color w:val="000000"/>
                <w:sz w:val="20"/>
                <w:szCs w:val="20"/>
                <w:lang w:val="en-US"/>
              </w:rPr>
              <w:t>t of crop species and varieties;</w:t>
            </w:r>
            <w:r w:rsidR="009B2E31" w:rsidRPr="00C236F0">
              <w:rPr>
                <w:rFonts w:ascii="Arial" w:hAnsi="Arial" w:cs="Arial"/>
                <w:color w:val="000000"/>
                <w:sz w:val="20"/>
                <w:szCs w:val="20"/>
                <w:lang w:val="en-US"/>
              </w:rPr>
              <w:t xml:space="preserve"> </w:t>
            </w:r>
          </w:p>
          <w:p w:rsidR="001E1F12" w:rsidRPr="00C236F0" w:rsidRDefault="001E1F12"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Promote </w:t>
            </w:r>
            <w:r w:rsidR="009B2E31" w:rsidRPr="00C236F0">
              <w:rPr>
                <w:rFonts w:ascii="Arial" w:hAnsi="Arial" w:cs="Arial"/>
                <w:color w:val="000000"/>
                <w:sz w:val="20"/>
                <w:szCs w:val="20"/>
                <w:lang w:val="en-US"/>
              </w:rPr>
              <w:t>crops and varieties that are more resilient to floods or drought and adapted to new</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 xml:space="preserve">climate patterns, </w:t>
            </w:r>
          </w:p>
          <w:p w:rsidR="001E1F12" w:rsidRPr="00C236F0" w:rsidRDefault="001E1F12"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Develop</w:t>
            </w:r>
            <w:r w:rsidR="009B2E31" w:rsidRPr="00C236F0">
              <w:rPr>
                <w:rFonts w:ascii="Arial" w:hAnsi="Arial" w:cs="Arial"/>
                <w:color w:val="000000"/>
                <w:sz w:val="20"/>
                <w:szCs w:val="20"/>
                <w:lang w:val="en-US"/>
              </w:rPr>
              <w:t xml:space="preserve"> efficient seed delivery systems for improving farmers’ access</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to a</w:t>
            </w:r>
            <w:r w:rsidRPr="00C236F0">
              <w:rPr>
                <w:rFonts w:ascii="Arial" w:hAnsi="Arial" w:cs="Arial"/>
                <w:color w:val="000000"/>
                <w:sz w:val="20"/>
                <w:szCs w:val="20"/>
                <w:lang w:val="en-US"/>
              </w:rPr>
              <w:t>dequate varieties,</w:t>
            </w:r>
          </w:p>
          <w:p w:rsidR="00C236F0" w:rsidRPr="00C236F0" w:rsidRDefault="001E1F12"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Promote </w:t>
            </w:r>
            <w:r w:rsidR="009B2E31" w:rsidRPr="00C236F0">
              <w:rPr>
                <w:rFonts w:ascii="Arial" w:hAnsi="Arial" w:cs="Arial"/>
                <w:color w:val="000000"/>
                <w:sz w:val="20"/>
                <w:szCs w:val="20"/>
                <w:lang w:val="en-US"/>
              </w:rPr>
              <w:t>sustainable water management to</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increase water use efficiency and productivity, such as rainwater harvesting, water</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 xml:space="preserve">storage and conservation techniques and irrigation efficiency; </w:t>
            </w:r>
          </w:p>
          <w:p w:rsidR="00C236F0" w:rsidRPr="00C236F0" w:rsidRDefault="00C236F0"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Promote </w:t>
            </w:r>
            <w:r w:rsidR="009B2E31" w:rsidRPr="00C236F0">
              <w:rPr>
                <w:rFonts w:ascii="Arial" w:hAnsi="Arial" w:cs="Arial"/>
                <w:color w:val="000000"/>
                <w:sz w:val="20"/>
                <w:szCs w:val="20"/>
                <w:lang w:val="en-US"/>
              </w:rPr>
              <w:t>agro-forestry systems</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that make use of trees and shrubs as shelterbelts, windbreaks and live fences to</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 xml:space="preserve">diminish the effects of extreme weather events; </w:t>
            </w:r>
          </w:p>
          <w:p w:rsidR="00C236F0" w:rsidRPr="00C236F0" w:rsidRDefault="00C236F0"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Promote </w:t>
            </w:r>
            <w:r w:rsidR="009B2E31" w:rsidRPr="00C236F0">
              <w:rPr>
                <w:rFonts w:ascii="Arial" w:hAnsi="Arial" w:cs="Arial"/>
                <w:color w:val="000000"/>
                <w:sz w:val="20"/>
                <w:szCs w:val="20"/>
                <w:lang w:val="en-US"/>
              </w:rPr>
              <w:t>conservation agriculture which uses</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minimal soil disturbance, permanent soil cover and crop rotations, thereby contributing</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to crop diversification, high water infiltration for reduced surface runoff and soil</w:t>
            </w:r>
            <w:r w:rsidRPr="00C236F0">
              <w:rPr>
                <w:rFonts w:ascii="Arial" w:hAnsi="Arial" w:cs="Arial"/>
                <w:color w:val="000000"/>
                <w:sz w:val="20"/>
                <w:szCs w:val="20"/>
                <w:lang w:val="en-US"/>
              </w:rPr>
              <w:t xml:space="preserve"> erosion, among other benefits; </w:t>
            </w:r>
          </w:p>
          <w:p w:rsidR="00F7350F" w:rsidRPr="00C236F0" w:rsidRDefault="00C236F0"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Promote</w:t>
            </w:r>
            <w:r w:rsidR="009B2E31" w:rsidRPr="00C236F0">
              <w:rPr>
                <w:rFonts w:ascii="Arial" w:hAnsi="Arial" w:cs="Arial"/>
                <w:color w:val="000000"/>
                <w:sz w:val="20"/>
                <w:szCs w:val="20"/>
                <w:lang w:val="en-US"/>
              </w:rPr>
              <w:t xml:space="preserve"> natural resource management practices to restore</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degraded grasslands through grazing management, re-vegetation and supplementing</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poor quality forages with fodder trees, as in agro-</w:t>
            </w:r>
            <w:proofErr w:type="spellStart"/>
            <w:r w:rsidR="009B2E31" w:rsidRPr="00C236F0">
              <w:rPr>
                <w:rFonts w:ascii="Arial" w:hAnsi="Arial" w:cs="Arial"/>
                <w:color w:val="000000"/>
                <w:sz w:val="20"/>
                <w:szCs w:val="20"/>
                <w:lang w:val="en-US"/>
              </w:rPr>
              <w:t>silvo</w:t>
            </w:r>
            <w:proofErr w:type="spellEnd"/>
            <w:r w:rsidR="009B2E31" w:rsidRPr="00C236F0">
              <w:rPr>
                <w:rFonts w:ascii="Arial" w:hAnsi="Arial" w:cs="Arial"/>
                <w:color w:val="000000"/>
                <w:sz w:val="20"/>
                <w:szCs w:val="20"/>
                <w:lang w:val="en-US"/>
              </w:rPr>
              <w:t>-pastoral systems and land</w:t>
            </w:r>
            <w:r w:rsidRPr="00C236F0">
              <w:rPr>
                <w:rFonts w:ascii="Arial" w:hAnsi="Arial" w:cs="Arial"/>
                <w:color w:val="000000"/>
                <w:sz w:val="20"/>
                <w:szCs w:val="20"/>
                <w:lang w:val="en-US"/>
              </w:rPr>
              <w:t xml:space="preserve"> </w:t>
            </w:r>
            <w:r w:rsidR="009B2E31" w:rsidRPr="00C236F0">
              <w:rPr>
                <w:rFonts w:ascii="Arial" w:hAnsi="Arial" w:cs="Arial"/>
                <w:color w:val="000000"/>
                <w:sz w:val="20"/>
                <w:szCs w:val="20"/>
                <w:lang w:val="en-US"/>
              </w:rPr>
              <w:t>tenure to secure land rights.</w:t>
            </w:r>
          </w:p>
        </w:tc>
      </w:tr>
      <w:tr w:rsidR="00F7350F" w:rsidRPr="003A33CE" w:rsidTr="00F7350F">
        <w:trPr>
          <w:trHeight w:val="350"/>
        </w:trPr>
        <w:tc>
          <w:tcPr>
            <w:tcW w:w="2255" w:type="dxa"/>
            <w:tcBorders>
              <w:top w:val="single" w:sz="4" w:space="0" w:color="auto"/>
              <w:bottom w:val="single" w:sz="4" w:space="0" w:color="auto"/>
            </w:tcBorders>
          </w:tcPr>
          <w:p w:rsidR="00F7350F" w:rsidRDefault="00F7350F" w:rsidP="00550E56">
            <w:pPr>
              <w:jc w:val="both"/>
              <w:rPr>
                <w:rFonts w:ascii="Arial" w:hAnsi="Arial" w:cs="Arial"/>
                <w:sz w:val="20"/>
                <w:szCs w:val="20"/>
              </w:rPr>
            </w:pPr>
            <w:r>
              <w:rPr>
                <w:rFonts w:ascii="Arial" w:hAnsi="Arial" w:cs="Arial"/>
                <w:sz w:val="20"/>
                <w:szCs w:val="20"/>
              </w:rPr>
              <w:t>Preparedness</w:t>
            </w:r>
          </w:p>
        </w:tc>
        <w:tc>
          <w:tcPr>
            <w:tcW w:w="6930" w:type="dxa"/>
            <w:tcBorders>
              <w:top w:val="single" w:sz="4" w:space="0" w:color="auto"/>
              <w:bottom w:val="single" w:sz="4" w:space="0" w:color="auto"/>
            </w:tcBorders>
          </w:tcPr>
          <w:p w:rsidR="00F7350F" w:rsidRPr="00C236F0" w:rsidRDefault="00F7350F"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Reduce vulnerability through promoting improved care practices (such as exclusive breast-feeding and appropriate complementary feeding) and protect nutrition</w:t>
            </w:r>
            <w:r w:rsidR="00C236F0" w:rsidRPr="00C236F0">
              <w:rPr>
                <w:rFonts w:ascii="Arial" w:hAnsi="Arial" w:cs="Arial"/>
                <w:color w:val="000000"/>
                <w:sz w:val="20"/>
                <w:szCs w:val="20"/>
                <w:lang w:val="en-US"/>
              </w:rPr>
              <w:t>al status in hazard prone areas;</w:t>
            </w:r>
          </w:p>
          <w:p w:rsidR="00F7350F" w:rsidRPr="00C236F0" w:rsidRDefault="00F7350F"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Strengthen community health systems for early diagnosis, referrals and follow-up of cases with acute malnutrition</w:t>
            </w:r>
            <w:r w:rsidR="00C236F0" w:rsidRPr="00C236F0">
              <w:rPr>
                <w:rFonts w:ascii="Arial" w:hAnsi="Arial" w:cs="Arial"/>
                <w:color w:val="000000"/>
                <w:sz w:val="20"/>
                <w:szCs w:val="20"/>
                <w:lang w:val="en-US"/>
              </w:rPr>
              <w:t>;</w:t>
            </w:r>
          </w:p>
          <w:p w:rsidR="00F7350F" w:rsidRPr="00C236F0" w:rsidRDefault="00F7350F"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Link nutrition actors and services to disaster early warning systems at national, s</w:t>
            </w:r>
            <w:r w:rsidR="00C236F0" w:rsidRPr="00C236F0">
              <w:rPr>
                <w:rFonts w:ascii="Arial" w:hAnsi="Arial" w:cs="Arial"/>
                <w:color w:val="000000"/>
                <w:sz w:val="20"/>
                <w:szCs w:val="20"/>
                <w:lang w:val="en-US"/>
              </w:rPr>
              <w:t>ub-national and community level;</w:t>
            </w:r>
          </w:p>
          <w:p w:rsidR="00F7350F" w:rsidRPr="00C236F0" w:rsidRDefault="00F7350F"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Preposition stocks (regional and national hubs) for i</w:t>
            </w:r>
            <w:r w:rsidR="00C236F0" w:rsidRPr="00C236F0">
              <w:rPr>
                <w:rFonts w:ascii="Arial" w:hAnsi="Arial" w:cs="Arial"/>
                <w:color w:val="000000"/>
                <w:sz w:val="20"/>
                <w:szCs w:val="20"/>
                <w:lang w:val="en-US"/>
              </w:rPr>
              <w:t>dentified ‘at risk’ populations;</w:t>
            </w:r>
          </w:p>
          <w:p w:rsidR="00F7350F" w:rsidRPr="00C236F0" w:rsidRDefault="00F7350F"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Scale up communication for change </w:t>
            </w:r>
            <w:proofErr w:type="spellStart"/>
            <w:r w:rsidRPr="00C236F0">
              <w:rPr>
                <w:rFonts w:ascii="Arial" w:hAnsi="Arial" w:cs="Arial"/>
                <w:color w:val="000000"/>
                <w:sz w:val="20"/>
                <w:szCs w:val="20"/>
                <w:lang w:val="en-US"/>
              </w:rPr>
              <w:t>behaviours</w:t>
            </w:r>
            <w:proofErr w:type="spellEnd"/>
            <w:r w:rsidRPr="00C236F0">
              <w:rPr>
                <w:rFonts w:ascii="Arial" w:hAnsi="Arial" w:cs="Arial"/>
                <w:color w:val="000000"/>
                <w:sz w:val="20"/>
                <w:szCs w:val="20"/>
                <w:lang w:val="en-US"/>
              </w:rPr>
              <w:t xml:space="preserve"> in vulnerable communities</w:t>
            </w:r>
            <w:r w:rsidR="00C236F0" w:rsidRPr="00C236F0">
              <w:rPr>
                <w:rFonts w:ascii="Arial" w:hAnsi="Arial" w:cs="Arial"/>
                <w:color w:val="000000"/>
                <w:sz w:val="20"/>
                <w:szCs w:val="20"/>
                <w:lang w:val="en-US"/>
              </w:rPr>
              <w:t>;</w:t>
            </w:r>
          </w:p>
          <w:p w:rsidR="009B2E31" w:rsidRPr="00C236F0" w:rsidRDefault="00C236F0"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Strengthen </w:t>
            </w:r>
            <w:r w:rsidR="009B2E31" w:rsidRPr="00C236F0">
              <w:rPr>
                <w:rFonts w:ascii="Arial" w:hAnsi="Arial" w:cs="Arial"/>
                <w:color w:val="000000"/>
                <w:sz w:val="20"/>
                <w:szCs w:val="20"/>
                <w:lang w:val="en-US"/>
              </w:rPr>
              <w:t>coordination of humanitarian and d</w:t>
            </w:r>
            <w:r w:rsidRPr="00C236F0">
              <w:rPr>
                <w:rFonts w:ascii="Arial" w:hAnsi="Arial" w:cs="Arial"/>
                <w:color w:val="000000"/>
                <w:sz w:val="20"/>
                <w:szCs w:val="20"/>
                <w:lang w:val="en-US"/>
              </w:rPr>
              <w:t>evelopment actors at all levels;</w:t>
            </w:r>
          </w:p>
          <w:p w:rsidR="00F7350F" w:rsidRPr="00C236F0" w:rsidRDefault="009B2E31" w:rsidP="00C236F0">
            <w:pPr>
              <w:pStyle w:val="ListParagraph"/>
              <w:numPr>
                <w:ilvl w:val="0"/>
                <w:numId w:val="7"/>
              </w:numPr>
              <w:autoSpaceDE w:val="0"/>
              <w:autoSpaceDN w:val="0"/>
              <w:adjustRightInd w:val="0"/>
              <w:jc w:val="both"/>
              <w:rPr>
                <w:rFonts w:ascii="Arial" w:hAnsi="Arial" w:cs="Arial"/>
                <w:color w:val="000000"/>
                <w:sz w:val="20"/>
                <w:szCs w:val="20"/>
                <w:lang w:val="en-US"/>
              </w:rPr>
            </w:pPr>
            <w:r w:rsidRPr="00C236F0">
              <w:rPr>
                <w:rFonts w:ascii="Arial" w:hAnsi="Arial" w:cs="Arial"/>
                <w:color w:val="000000"/>
                <w:sz w:val="20"/>
                <w:szCs w:val="20"/>
                <w:lang w:val="en-US"/>
              </w:rPr>
              <w:t xml:space="preserve">At the community level, </w:t>
            </w:r>
            <w:r w:rsidR="00C236F0" w:rsidRPr="00C236F0">
              <w:rPr>
                <w:rFonts w:ascii="Arial" w:hAnsi="Arial" w:cs="Arial"/>
                <w:color w:val="000000"/>
                <w:sz w:val="20"/>
                <w:szCs w:val="20"/>
                <w:lang w:val="en-US"/>
              </w:rPr>
              <w:t>promote</w:t>
            </w:r>
            <w:r w:rsidRPr="00C236F0">
              <w:rPr>
                <w:rFonts w:ascii="Arial" w:hAnsi="Arial" w:cs="Arial"/>
                <w:color w:val="000000"/>
                <w:sz w:val="20"/>
                <w:szCs w:val="20"/>
                <w:lang w:val="en-US"/>
              </w:rPr>
              <w:t xml:space="preserve"> appropriate technologies</w:t>
            </w:r>
            <w:r w:rsidR="00C236F0" w:rsidRPr="00C236F0">
              <w:rPr>
                <w:rFonts w:ascii="Arial" w:hAnsi="Arial" w:cs="Arial"/>
                <w:color w:val="000000"/>
                <w:sz w:val="20"/>
                <w:szCs w:val="20"/>
                <w:lang w:val="en-US"/>
              </w:rPr>
              <w:t xml:space="preserve"> </w:t>
            </w:r>
            <w:r w:rsidRPr="00C236F0">
              <w:rPr>
                <w:rFonts w:ascii="Arial" w:hAnsi="Arial" w:cs="Arial"/>
                <w:color w:val="000000"/>
                <w:sz w:val="20"/>
                <w:szCs w:val="20"/>
                <w:lang w:val="en-US"/>
              </w:rPr>
              <w:t>and practices, such as seed and grazing reserves, safe storage facilities for seeds</w:t>
            </w:r>
            <w:r w:rsidR="00C236F0" w:rsidRPr="00C236F0">
              <w:rPr>
                <w:rFonts w:ascii="Arial" w:hAnsi="Arial" w:cs="Arial"/>
                <w:color w:val="000000"/>
                <w:sz w:val="20"/>
                <w:szCs w:val="20"/>
                <w:lang w:val="en-US"/>
              </w:rPr>
              <w:t xml:space="preserve"> </w:t>
            </w:r>
            <w:r w:rsidRPr="00C236F0">
              <w:rPr>
                <w:rFonts w:ascii="Arial" w:hAnsi="Arial" w:cs="Arial"/>
                <w:color w:val="000000"/>
                <w:sz w:val="20"/>
                <w:szCs w:val="20"/>
                <w:lang w:val="en-US"/>
              </w:rPr>
              <w:t>and harvest, livestock shelters and safe and hygienic food preparation practices.</w:t>
            </w:r>
          </w:p>
        </w:tc>
      </w:tr>
    </w:tbl>
    <w:p w:rsidR="00974FF4" w:rsidRDefault="00974FF4" w:rsidP="007C2014">
      <w:pPr>
        <w:autoSpaceDE w:val="0"/>
        <w:autoSpaceDN w:val="0"/>
        <w:adjustRightInd w:val="0"/>
        <w:spacing w:after="0" w:line="240" w:lineRule="auto"/>
        <w:rPr>
          <w:rFonts w:ascii="Arial" w:hAnsi="Arial" w:cs="Arial"/>
          <w:color w:val="000000"/>
          <w:sz w:val="20"/>
          <w:szCs w:val="20"/>
          <w:lang w:val="en-US"/>
        </w:rPr>
      </w:pPr>
    </w:p>
    <w:p w:rsidR="007C2014" w:rsidRPr="00F7350F" w:rsidRDefault="007C2014" w:rsidP="00F7350F">
      <w:pPr>
        <w:spacing w:after="0" w:line="240" w:lineRule="auto"/>
        <w:jc w:val="both"/>
        <w:rPr>
          <w:rFonts w:ascii="Arial" w:eastAsiaTheme="minorEastAsia" w:hAnsi="Arial" w:cs="Arial"/>
          <w:sz w:val="20"/>
          <w:szCs w:val="20"/>
          <w:highlight w:val="yellow"/>
        </w:rPr>
      </w:pPr>
    </w:p>
    <w:p w:rsidR="00974FF4" w:rsidRPr="00C236F0" w:rsidRDefault="00974FF4" w:rsidP="00C236F0">
      <w:pPr>
        <w:spacing w:line="240" w:lineRule="auto"/>
        <w:jc w:val="both"/>
        <w:rPr>
          <w:rFonts w:ascii="Arial" w:eastAsiaTheme="minorEastAsia" w:hAnsi="Arial" w:cs="Arial"/>
          <w:b/>
          <w:sz w:val="20"/>
          <w:szCs w:val="20"/>
        </w:rPr>
      </w:pPr>
      <w:r w:rsidRPr="00C236F0">
        <w:rPr>
          <w:rFonts w:ascii="Arial" w:eastAsiaTheme="minorEastAsia" w:hAnsi="Arial" w:cs="Arial"/>
          <w:b/>
          <w:sz w:val="20"/>
          <w:szCs w:val="20"/>
        </w:rPr>
        <w:t>Reference documents</w:t>
      </w:r>
    </w:p>
    <w:p w:rsidR="00974FF4" w:rsidRPr="00F7350F" w:rsidRDefault="00974FF4" w:rsidP="00C236F0">
      <w:pPr>
        <w:spacing w:line="240" w:lineRule="auto"/>
        <w:jc w:val="both"/>
        <w:rPr>
          <w:rFonts w:ascii="Arial" w:eastAsiaTheme="minorEastAsia" w:hAnsi="Arial" w:cs="Arial"/>
          <w:sz w:val="20"/>
          <w:szCs w:val="20"/>
        </w:rPr>
      </w:pPr>
      <w:r w:rsidRPr="00F7350F">
        <w:rPr>
          <w:rFonts w:ascii="Arial" w:eastAsiaTheme="minorEastAsia" w:hAnsi="Arial" w:cs="Arial"/>
          <w:sz w:val="20"/>
          <w:szCs w:val="20"/>
        </w:rPr>
        <w:t xml:space="preserve">FAO (2013), Resilient Livelihoods, DRR for Food and Nutrition Security, </w:t>
      </w:r>
      <w:hyperlink r:id="rId22" w:history="1">
        <w:r w:rsidRPr="00F7350F">
          <w:rPr>
            <w:rStyle w:val="Hyperlink"/>
            <w:rFonts w:ascii="Arial" w:eastAsiaTheme="minorEastAsia" w:hAnsi="Arial" w:cs="Arial"/>
            <w:sz w:val="20"/>
            <w:szCs w:val="20"/>
          </w:rPr>
          <w:t>http://www.fao.org/docrep/015/i2540e/i2540e00.pdf</w:t>
        </w:r>
      </w:hyperlink>
    </w:p>
    <w:p w:rsidR="00974FF4" w:rsidRPr="00F7350F" w:rsidRDefault="00974FF4" w:rsidP="00C236F0">
      <w:pPr>
        <w:spacing w:line="240" w:lineRule="auto"/>
        <w:jc w:val="both"/>
        <w:rPr>
          <w:rFonts w:ascii="Arial" w:eastAsiaTheme="minorEastAsia" w:hAnsi="Arial" w:cs="Arial"/>
          <w:sz w:val="20"/>
          <w:szCs w:val="20"/>
        </w:rPr>
      </w:pPr>
      <w:r w:rsidRPr="00F7350F">
        <w:rPr>
          <w:rFonts w:ascii="Arial" w:eastAsiaTheme="minorEastAsia" w:hAnsi="Arial" w:cs="Arial"/>
          <w:sz w:val="20"/>
          <w:szCs w:val="20"/>
        </w:rPr>
        <w:t xml:space="preserve">UNISDR (2011), DRM for Health: Nutrition, </w:t>
      </w:r>
      <w:hyperlink r:id="rId23" w:history="1">
        <w:r w:rsidRPr="00F7350F">
          <w:rPr>
            <w:rStyle w:val="Hyperlink"/>
            <w:rFonts w:ascii="Arial" w:eastAsiaTheme="minorEastAsia" w:hAnsi="Arial" w:cs="Arial"/>
            <w:sz w:val="20"/>
            <w:szCs w:val="20"/>
          </w:rPr>
          <w:t>http://www.unisdr.org/we/inform/publications/19984</w:t>
        </w:r>
      </w:hyperlink>
    </w:p>
    <w:p w:rsidR="00974FF4" w:rsidRPr="00F7350F" w:rsidRDefault="00974FF4" w:rsidP="00C236F0">
      <w:pPr>
        <w:spacing w:line="240" w:lineRule="auto"/>
        <w:jc w:val="both"/>
        <w:rPr>
          <w:rFonts w:ascii="Arial" w:eastAsiaTheme="minorEastAsia" w:hAnsi="Arial" w:cs="Arial"/>
          <w:sz w:val="20"/>
          <w:szCs w:val="20"/>
        </w:rPr>
      </w:pPr>
      <w:r w:rsidRPr="00F7350F">
        <w:rPr>
          <w:rFonts w:ascii="Arial" w:eastAsiaTheme="minorEastAsia" w:hAnsi="Arial" w:cs="Arial"/>
          <w:sz w:val="20"/>
          <w:szCs w:val="20"/>
        </w:rPr>
        <w:t>UNICEF (undated), DRR and Nutrition</w:t>
      </w:r>
      <w:r w:rsidR="007B09EE" w:rsidRPr="00F7350F">
        <w:rPr>
          <w:rFonts w:ascii="Arial" w:eastAsiaTheme="minorEastAsia" w:hAnsi="Arial" w:cs="Arial"/>
          <w:sz w:val="20"/>
          <w:szCs w:val="20"/>
        </w:rPr>
        <w:t xml:space="preserve">, DRR and Nutrition, One-Pager, </w:t>
      </w:r>
      <w:hyperlink r:id="rId24" w:history="1">
        <w:r w:rsidR="007B09EE" w:rsidRPr="00F7350F">
          <w:rPr>
            <w:rStyle w:val="Hyperlink"/>
            <w:rFonts w:ascii="Arial" w:eastAsiaTheme="minorEastAsia" w:hAnsi="Arial" w:cs="Arial"/>
            <w:sz w:val="20"/>
            <w:szCs w:val="20"/>
          </w:rPr>
          <w:t>http://www.unicefinemergencies.com/downloads/eresource/docs/DRR/DRR_ONE_PAGER_NUTRITION.pdf</w:t>
        </w:r>
      </w:hyperlink>
    </w:p>
    <w:p w:rsidR="00F4224A" w:rsidRPr="00F7350F" w:rsidRDefault="00F4224A" w:rsidP="00C236F0">
      <w:pPr>
        <w:spacing w:line="240" w:lineRule="auto"/>
        <w:jc w:val="both"/>
        <w:rPr>
          <w:rFonts w:ascii="Arial" w:hAnsi="Arial" w:cs="Arial"/>
          <w:sz w:val="20"/>
          <w:szCs w:val="20"/>
        </w:rPr>
      </w:pPr>
      <w:r w:rsidRPr="00F7350F">
        <w:rPr>
          <w:rFonts w:ascii="Arial" w:hAnsi="Arial" w:cs="Arial"/>
          <w:sz w:val="20"/>
          <w:szCs w:val="20"/>
        </w:rPr>
        <w:t xml:space="preserve">DG ECHO (2013), Thematic Policy n5, Disaster Risk Reduction, Increasing Resilience by Decreasing Disaster Risk in Humanitarian Action, </w:t>
      </w:r>
      <w:hyperlink r:id="rId25" w:history="1">
        <w:r w:rsidRPr="00F7350F">
          <w:rPr>
            <w:rStyle w:val="Hyperlink"/>
            <w:rFonts w:ascii="Arial" w:hAnsi="Arial" w:cs="Arial"/>
            <w:sz w:val="20"/>
            <w:szCs w:val="20"/>
          </w:rPr>
          <w:t>http://ec.europa.eu/echo/files/policies/prevention_preparedness/DRR_thematic_policy_doc.pdf</w:t>
        </w:r>
      </w:hyperlink>
    </w:p>
    <w:p w:rsidR="00D74139" w:rsidRPr="00F7350F" w:rsidRDefault="00D74139" w:rsidP="00F7350F">
      <w:pPr>
        <w:spacing w:line="240" w:lineRule="auto"/>
        <w:jc w:val="both"/>
        <w:rPr>
          <w:rFonts w:ascii="Arial" w:eastAsiaTheme="minorEastAsia" w:hAnsi="Arial" w:cs="Arial"/>
          <w:sz w:val="20"/>
          <w:szCs w:val="20"/>
          <w:highlight w:val="yellow"/>
        </w:rPr>
      </w:pPr>
    </w:p>
    <w:sectPr w:rsidR="00D74139" w:rsidRPr="00F7350F">
      <w:headerReference w:type="default" r:id="rId26"/>
      <w:foot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60" w:rsidRDefault="003A3660" w:rsidP="00D90BEE">
      <w:pPr>
        <w:spacing w:after="0" w:line="240" w:lineRule="auto"/>
      </w:pPr>
      <w:r>
        <w:separator/>
      </w:r>
    </w:p>
  </w:endnote>
  <w:endnote w:type="continuationSeparator" w:id="0">
    <w:p w:rsidR="003A3660" w:rsidRDefault="003A3660" w:rsidP="00D9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ECSquareSans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45 Light">
    <w:altName w:val="Univers 45 Light"/>
    <w:panose1 w:val="020B0403020202020204"/>
    <w:charset w:val="00"/>
    <w:family w:val="swiss"/>
    <w:pitch w:val="variable"/>
    <w:sig w:usb0="00000007" w:usb1="00000000" w:usb2="00000000" w:usb3="00000000" w:csb0="00000093" w:csb1="00000000"/>
  </w:font>
  <w:font w:name="Univers">
    <w:altName w:val="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84" w:rsidRDefault="00764084">
    <w:pPr>
      <w:pStyle w:val="Footer"/>
    </w:pPr>
    <w:r w:rsidRPr="00764084">
      <w:rPr>
        <w:noProof/>
        <w:lang w:val="en-US"/>
      </w:rPr>
      <w:drawing>
        <wp:inline distT="0" distB="0" distL="0" distR="0" wp14:anchorId="0A66ABC4" wp14:editId="1FD8337B">
          <wp:extent cx="1673052" cy="628650"/>
          <wp:effectExtent l="0" t="0" r="3810" b="0"/>
          <wp:docPr id="2" name="Picture 2" descr="C:\Users\jchaix\Desktop\UNICEF logo\UNICE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haix\Desktop\UNICEF logo\UNICE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9071" cy="63091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60" w:rsidRDefault="003A3660" w:rsidP="00D90BEE">
      <w:pPr>
        <w:spacing w:after="0" w:line="240" w:lineRule="auto"/>
      </w:pPr>
      <w:r>
        <w:separator/>
      </w:r>
    </w:p>
  </w:footnote>
  <w:footnote w:type="continuationSeparator" w:id="0">
    <w:p w:rsidR="003A3660" w:rsidRDefault="003A3660" w:rsidP="00D90B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93" w:rsidRDefault="00D46693" w:rsidP="00D46693">
    <w:pPr>
      <w:pStyle w:val="Header"/>
      <w:tabs>
        <w:tab w:val="clear" w:pos="4680"/>
        <w:tab w:val="clear" w:pos="9360"/>
        <w:tab w:val="left" w:pos="29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AF4906"/>
    <w:multiLevelType w:val="hybridMultilevel"/>
    <w:tmpl w:val="738550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8715A8"/>
    <w:multiLevelType w:val="hybridMultilevel"/>
    <w:tmpl w:val="1D1224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FB0B18"/>
    <w:multiLevelType w:val="hybridMultilevel"/>
    <w:tmpl w:val="66DE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A35B5"/>
    <w:multiLevelType w:val="hybridMultilevel"/>
    <w:tmpl w:val="4E42B7B6"/>
    <w:lvl w:ilvl="0" w:tplc="04090001">
      <w:start w:val="1"/>
      <w:numFmt w:val="bullet"/>
      <w:lvlText w:val=""/>
      <w:lvlJc w:val="left"/>
      <w:pPr>
        <w:ind w:left="720" w:hanging="360"/>
      </w:pPr>
      <w:rPr>
        <w:rFonts w:ascii="Symbol" w:hAnsi="Symbol" w:hint="default"/>
      </w:rPr>
    </w:lvl>
    <w:lvl w:ilvl="1" w:tplc="46DE38EC">
      <w:numFmt w:val="bullet"/>
      <w:lvlText w:val="•"/>
      <w:lvlJc w:val="left"/>
      <w:pPr>
        <w:ind w:left="1440" w:hanging="360"/>
      </w:pPr>
      <w:rPr>
        <w:rFonts w:ascii="ECSquareSansPro" w:eastAsiaTheme="minorHAnsi" w:hAnsi="ECSquareSansPro" w:cs="ECSquareSansPro" w:hint="default"/>
        <w:sz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E54E1"/>
    <w:multiLevelType w:val="hybridMultilevel"/>
    <w:tmpl w:val="F922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D42B23"/>
    <w:multiLevelType w:val="hybridMultilevel"/>
    <w:tmpl w:val="491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51516F"/>
    <w:multiLevelType w:val="hybridMultilevel"/>
    <w:tmpl w:val="AE14C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A628DE"/>
    <w:multiLevelType w:val="hybridMultilevel"/>
    <w:tmpl w:val="F53A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A496F"/>
    <w:multiLevelType w:val="hybridMultilevel"/>
    <w:tmpl w:val="FC54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07C04"/>
    <w:multiLevelType w:val="hybridMultilevel"/>
    <w:tmpl w:val="23EC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17F02"/>
    <w:multiLevelType w:val="hybridMultilevel"/>
    <w:tmpl w:val="6FEC1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43DF9A"/>
    <w:multiLevelType w:val="hybridMultilevel"/>
    <w:tmpl w:val="979862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7BD4575"/>
    <w:multiLevelType w:val="hybridMultilevel"/>
    <w:tmpl w:val="C200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33610"/>
    <w:multiLevelType w:val="hybridMultilevel"/>
    <w:tmpl w:val="8332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56AE8"/>
    <w:multiLevelType w:val="hybridMultilevel"/>
    <w:tmpl w:val="19369FBA"/>
    <w:lvl w:ilvl="0" w:tplc="2866558C">
      <w:start w:val="1"/>
      <w:numFmt w:val="bullet"/>
      <w:lvlText w:val="•"/>
      <w:lvlJc w:val="left"/>
      <w:pPr>
        <w:tabs>
          <w:tab w:val="num" w:pos="720"/>
        </w:tabs>
        <w:ind w:left="720" w:hanging="360"/>
      </w:pPr>
      <w:rPr>
        <w:rFonts w:ascii="Arial" w:hAnsi="Arial" w:hint="default"/>
      </w:rPr>
    </w:lvl>
    <w:lvl w:ilvl="1" w:tplc="6D6A0B40" w:tentative="1">
      <w:start w:val="1"/>
      <w:numFmt w:val="bullet"/>
      <w:lvlText w:val="•"/>
      <w:lvlJc w:val="left"/>
      <w:pPr>
        <w:tabs>
          <w:tab w:val="num" w:pos="1440"/>
        </w:tabs>
        <w:ind w:left="1440" w:hanging="360"/>
      </w:pPr>
      <w:rPr>
        <w:rFonts w:ascii="Arial" w:hAnsi="Arial" w:hint="default"/>
      </w:rPr>
    </w:lvl>
    <w:lvl w:ilvl="2" w:tplc="16C622A6" w:tentative="1">
      <w:start w:val="1"/>
      <w:numFmt w:val="bullet"/>
      <w:lvlText w:val="•"/>
      <w:lvlJc w:val="left"/>
      <w:pPr>
        <w:tabs>
          <w:tab w:val="num" w:pos="2160"/>
        </w:tabs>
        <w:ind w:left="2160" w:hanging="360"/>
      </w:pPr>
      <w:rPr>
        <w:rFonts w:ascii="Arial" w:hAnsi="Arial" w:hint="default"/>
      </w:rPr>
    </w:lvl>
    <w:lvl w:ilvl="3" w:tplc="B60C7F22" w:tentative="1">
      <w:start w:val="1"/>
      <w:numFmt w:val="bullet"/>
      <w:lvlText w:val="•"/>
      <w:lvlJc w:val="left"/>
      <w:pPr>
        <w:tabs>
          <w:tab w:val="num" w:pos="2880"/>
        </w:tabs>
        <w:ind w:left="2880" w:hanging="360"/>
      </w:pPr>
      <w:rPr>
        <w:rFonts w:ascii="Arial" w:hAnsi="Arial" w:hint="default"/>
      </w:rPr>
    </w:lvl>
    <w:lvl w:ilvl="4" w:tplc="D7EE5756" w:tentative="1">
      <w:start w:val="1"/>
      <w:numFmt w:val="bullet"/>
      <w:lvlText w:val="•"/>
      <w:lvlJc w:val="left"/>
      <w:pPr>
        <w:tabs>
          <w:tab w:val="num" w:pos="3600"/>
        </w:tabs>
        <w:ind w:left="3600" w:hanging="360"/>
      </w:pPr>
      <w:rPr>
        <w:rFonts w:ascii="Arial" w:hAnsi="Arial" w:hint="default"/>
      </w:rPr>
    </w:lvl>
    <w:lvl w:ilvl="5" w:tplc="F1281FD8" w:tentative="1">
      <w:start w:val="1"/>
      <w:numFmt w:val="bullet"/>
      <w:lvlText w:val="•"/>
      <w:lvlJc w:val="left"/>
      <w:pPr>
        <w:tabs>
          <w:tab w:val="num" w:pos="4320"/>
        </w:tabs>
        <w:ind w:left="4320" w:hanging="360"/>
      </w:pPr>
      <w:rPr>
        <w:rFonts w:ascii="Arial" w:hAnsi="Arial" w:hint="default"/>
      </w:rPr>
    </w:lvl>
    <w:lvl w:ilvl="6" w:tplc="2BA6CDDE" w:tentative="1">
      <w:start w:val="1"/>
      <w:numFmt w:val="bullet"/>
      <w:lvlText w:val="•"/>
      <w:lvlJc w:val="left"/>
      <w:pPr>
        <w:tabs>
          <w:tab w:val="num" w:pos="5040"/>
        </w:tabs>
        <w:ind w:left="5040" w:hanging="360"/>
      </w:pPr>
      <w:rPr>
        <w:rFonts w:ascii="Arial" w:hAnsi="Arial" w:hint="default"/>
      </w:rPr>
    </w:lvl>
    <w:lvl w:ilvl="7" w:tplc="5F387BB8" w:tentative="1">
      <w:start w:val="1"/>
      <w:numFmt w:val="bullet"/>
      <w:lvlText w:val="•"/>
      <w:lvlJc w:val="left"/>
      <w:pPr>
        <w:tabs>
          <w:tab w:val="num" w:pos="5760"/>
        </w:tabs>
        <w:ind w:left="5760" w:hanging="360"/>
      </w:pPr>
      <w:rPr>
        <w:rFonts w:ascii="Arial" w:hAnsi="Arial" w:hint="default"/>
      </w:rPr>
    </w:lvl>
    <w:lvl w:ilvl="8" w:tplc="C0DC4E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EEB1AB8"/>
    <w:multiLevelType w:val="hybridMultilevel"/>
    <w:tmpl w:val="52BA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13369"/>
    <w:multiLevelType w:val="hybridMultilevel"/>
    <w:tmpl w:val="33097E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3"/>
  </w:num>
  <w:num w:numId="3">
    <w:abstractNumId w:val="7"/>
  </w:num>
  <w:num w:numId="4">
    <w:abstractNumId w:val="13"/>
  </w:num>
  <w:num w:numId="5">
    <w:abstractNumId w:val="14"/>
  </w:num>
  <w:num w:numId="6">
    <w:abstractNumId w:val="5"/>
  </w:num>
  <w:num w:numId="7">
    <w:abstractNumId w:val="2"/>
  </w:num>
  <w:num w:numId="8">
    <w:abstractNumId w:val="6"/>
  </w:num>
  <w:num w:numId="9">
    <w:abstractNumId w:val="8"/>
  </w:num>
  <w:num w:numId="10">
    <w:abstractNumId w:val="15"/>
  </w:num>
  <w:num w:numId="11">
    <w:abstractNumId w:val="1"/>
  </w:num>
  <w:num w:numId="12">
    <w:abstractNumId w:val="16"/>
  </w:num>
  <w:num w:numId="13">
    <w:abstractNumId w:val="11"/>
  </w:num>
  <w:num w:numId="14">
    <w:abstractNumId w:val="0"/>
  </w:num>
  <w:num w:numId="15">
    <w:abstractNumId w:val="12"/>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03"/>
    <w:rsid w:val="00080ADC"/>
    <w:rsid w:val="000A1663"/>
    <w:rsid w:val="001846F6"/>
    <w:rsid w:val="001D33ED"/>
    <w:rsid w:val="001E1F12"/>
    <w:rsid w:val="0021432B"/>
    <w:rsid w:val="0022079B"/>
    <w:rsid w:val="00345156"/>
    <w:rsid w:val="00352896"/>
    <w:rsid w:val="0035729F"/>
    <w:rsid w:val="0036750D"/>
    <w:rsid w:val="003A33CE"/>
    <w:rsid w:val="003A3660"/>
    <w:rsid w:val="003E28BC"/>
    <w:rsid w:val="00407BC9"/>
    <w:rsid w:val="0041775C"/>
    <w:rsid w:val="004918CF"/>
    <w:rsid w:val="004B42FA"/>
    <w:rsid w:val="00592A13"/>
    <w:rsid w:val="005B6E25"/>
    <w:rsid w:val="00600AF4"/>
    <w:rsid w:val="00600BEB"/>
    <w:rsid w:val="00641A1C"/>
    <w:rsid w:val="006626DA"/>
    <w:rsid w:val="00716A5A"/>
    <w:rsid w:val="00735D71"/>
    <w:rsid w:val="007463A7"/>
    <w:rsid w:val="0076406B"/>
    <w:rsid w:val="00764084"/>
    <w:rsid w:val="007B09EE"/>
    <w:rsid w:val="007B3C32"/>
    <w:rsid w:val="007C2014"/>
    <w:rsid w:val="00855517"/>
    <w:rsid w:val="00893B59"/>
    <w:rsid w:val="00914CC2"/>
    <w:rsid w:val="009437AE"/>
    <w:rsid w:val="00974FF4"/>
    <w:rsid w:val="009B2E31"/>
    <w:rsid w:val="00A2050F"/>
    <w:rsid w:val="00A309CB"/>
    <w:rsid w:val="00A54337"/>
    <w:rsid w:val="00A954A8"/>
    <w:rsid w:val="00AA03AD"/>
    <w:rsid w:val="00AB0930"/>
    <w:rsid w:val="00B853D5"/>
    <w:rsid w:val="00B964E0"/>
    <w:rsid w:val="00C1064D"/>
    <w:rsid w:val="00C1170C"/>
    <w:rsid w:val="00C236F0"/>
    <w:rsid w:val="00C76DF7"/>
    <w:rsid w:val="00CB3869"/>
    <w:rsid w:val="00CB6BC4"/>
    <w:rsid w:val="00CD06C3"/>
    <w:rsid w:val="00D04B07"/>
    <w:rsid w:val="00D22E33"/>
    <w:rsid w:val="00D46693"/>
    <w:rsid w:val="00D74139"/>
    <w:rsid w:val="00D8442F"/>
    <w:rsid w:val="00D90BEE"/>
    <w:rsid w:val="00DA4085"/>
    <w:rsid w:val="00DB5EEA"/>
    <w:rsid w:val="00DB6644"/>
    <w:rsid w:val="00DE5F5F"/>
    <w:rsid w:val="00DF6F33"/>
    <w:rsid w:val="00EE7304"/>
    <w:rsid w:val="00F3141A"/>
    <w:rsid w:val="00F4224A"/>
    <w:rsid w:val="00F7350F"/>
    <w:rsid w:val="00F80EC3"/>
    <w:rsid w:val="00F83346"/>
    <w:rsid w:val="00F86C03"/>
    <w:rsid w:val="00FA7467"/>
    <w:rsid w:val="00FB0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DA8DB-DD28-40C4-8607-6A8D254C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46"/>
    <w:pPr>
      <w:ind w:left="720"/>
      <w:contextualSpacing/>
    </w:pPr>
  </w:style>
  <w:style w:type="table" w:styleId="TableGrid">
    <w:name w:val="Table Grid"/>
    <w:basedOn w:val="TableNormal"/>
    <w:uiPriority w:val="59"/>
    <w:rsid w:val="0074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ingle space,fn,FOOTNOTES,Footnote,Footnote Text qer,ft,Footnote Text Char Char Char Char Char Char Char Char Char Char,ADB,WB-Fuﬂnotentext,Fuﬂnote,Fuﬂnotentext Char,f,Testo nota a piè di pagina Carattere,Geneva 9,Font: Geneva 9,Boston 10"/>
    <w:basedOn w:val="Normal"/>
    <w:link w:val="FootnoteTextChar"/>
    <w:uiPriority w:val="99"/>
    <w:unhideWhenUsed/>
    <w:rsid w:val="00D90BEE"/>
    <w:pPr>
      <w:spacing w:after="0" w:line="240" w:lineRule="auto"/>
    </w:pPr>
    <w:rPr>
      <w:sz w:val="20"/>
      <w:szCs w:val="20"/>
    </w:rPr>
  </w:style>
  <w:style w:type="character" w:customStyle="1" w:styleId="FootnoteTextChar">
    <w:name w:val="Footnote Text Char"/>
    <w:aliases w:val="single space Char,fn Char,FOOTNOTES Char,Footnote Char,Footnote Text qer Char,ft Char,Footnote Text Char Char Char Char Char Char Char Char Char Char Char,ADB Char,WB-Fuﬂnotentext Char,Fuﬂnote Char,Fuﬂnotentext Char Char,f Char"/>
    <w:basedOn w:val="DefaultParagraphFont"/>
    <w:link w:val="FootnoteText"/>
    <w:uiPriority w:val="99"/>
    <w:rsid w:val="00D90BEE"/>
    <w:rPr>
      <w:sz w:val="20"/>
      <w:szCs w:val="20"/>
    </w:rPr>
  </w:style>
  <w:style w:type="character" w:styleId="FootnoteReference">
    <w:name w:val="footnote reference"/>
    <w:aliases w:val="16 Point,Superscript 6 Point,ftref,(NECG) Footnote Reference,Ref,de nota al pie,BVI fnr,footnoteAsia1,nota pié di pagina,FNRefe Char,BVI fnr Char,BVI fnr Char Char,BVI fnr Car Car Char Char,BVI fnr Car Char Char,FNRefe Char Char,fr"/>
    <w:basedOn w:val="DefaultParagraphFont"/>
    <w:link w:val="Char2"/>
    <w:uiPriority w:val="99"/>
    <w:unhideWhenUsed/>
    <w:rsid w:val="00D90BEE"/>
    <w:rPr>
      <w:vertAlign w:val="superscript"/>
    </w:rPr>
  </w:style>
  <w:style w:type="character" w:styleId="Hyperlink">
    <w:name w:val="Hyperlink"/>
    <w:basedOn w:val="DefaultParagraphFont"/>
    <w:uiPriority w:val="99"/>
    <w:unhideWhenUsed/>
    <w:rsid w:val="00D90BEE"/>
    <w:rPr>
      <w:color w:val="0000FF" w:themeColor="hyperlink"/>
      <w:u w:val="single"/>
    </w:rPr>
  </w:style>
  <w:style w:type="paragraph" w:customStyle="1" w:styleId="Char2">
    <w:name w:val="Char2"/>
    <w:basedOn w:val="Normal"/>
    <w:link w:val="FootnoteReference"/>
    <w:uiPriority w:val="99"/>
    <w:rsid w:val="00AB0930"/>
    <w:pPr>
      <w:spacing w:before="120" w:after="160" w:line="240" w:lineRule="exact"/>
      <w:ind w:left="547"/>
      <w:jc w:val="both"/>
    </w:pPr>
    <w:rPr>
      <w:vertAlign w:val="superscript"/>
    </w:rPr>
  </w:style>
  <w:style w:type="paragraph" w:customStyle="1" w:styleId="Default">
    <w:name w:val="Default"/>
    <w:rsid w:val="00974FF4"/>
    <w:pPr>
      <w:autoSpaceDE w:val="0"/>
      <w:autoSpaceDN w:val="0"/>
      <w:adjustRightInd w:val="0"/>
      <w:spacing w:after="0" w:line="240" w:lineRule="auto"/>
    </w:pPr>
    <w:rPr>
      <w:rFonts w:ascii="Arial" w:hAnsi="Arial" w:cs="Arial"/>
      <w:color w:val="000000"/>
      <w:sz w:val="24"/>
      <w:szCs w:val="24"/>
      <w:lang w:val="en-US"/>
    </w:rPr>
  </w:style>
  <w:style w:type="character" w:customStyle="1" w:styleId="A2">
    <w:name w:val="A2"/>
    <w:uiPriority w:val="99"/>
    <w:rsid w:val="00974FF4"/>
    <w:rPr>
      <w:rFonts w:cs="Univers 45 Light"/>
      <w:color w:val="000000"/>
      <w:sz w:val="18"/>
      <w:szCs w:val="18"/>
    </w:rPr>
  </w:style>
  <w:style w:type="character" w:customStyle="1" w:styleId="A3">
    <w:name w:val="A3"/>
    <w:uiPriority w:val="99"/>
    <w:rsid w:val="00974FF4"/>
    <w:rPr>
      <w:rFonts w:cs="Univers 45 Light"/>
      <w:color w:val="000000"/>
      <w:sz w:val="18"/>
      <w:szCs w:val="18"/>
    </w:rPr>
  </w:style>
  <w:style w:type="paragraph" w:customStyle="1" w:styleId="Pa0">
    <w:name w:val="Pa0"/>
    <w:basedOn w:val="Default"/>
    <w:next w:val="Default"/>
    <w:uiPriority w:val="99"/>
    <w:rsid w:val="00974FF4"/>
    <w:pPr>
      <w:spacing w:line="241" w:lineRule="atLeast"/>
    </w:pPr>
    <w:rPr>
      <w:rFonts w:ascii="Univers 45 Light" w:hAnsi="Univers 45 Light" w:cstheme="minorBidi"/>
      <w:color w:val="auto"/>
    </w:rPr>
  </w:style>
  <w:style w:type="character" w:customStyle="1" w:styleId="A4">
    <w:name w:val="A4"/>
    <w:uiPriority w:val="99"/>
    <w:rsid w:val="00974FF4"/>
    <w:rPr>
      <w:rFonts w:cs="Univers 45 Light"/>
      <w:color w:val="000000"/>
      <w:sz w:val="18"/>
      <w:szCs w:val="18"/>
    </w:rPr>
  </w:style>
  <w:style w:type="paragraph" w:styleId="Header">
    <w:name w:val="header"/>
    <w:basedOn w:val="Normal"/>
    <w:link w:val="HeaderChar"/>
    <w:uiPriority w:val="99"/>
    <w:unhideWhenUsed/>
    <w:rsid w:val="0076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84"/>
  </w:style>
  <w:style w:type="paragraph" w:styleId="Footer">
    <w:name w:val="footer"/>
    <w:basedOn w:val="Normal"/>
    <w:link w:val="FooterChar"/>
    <w:uiPriority w:val="99"/>
    <w:unhideWhenUsed/>
    <w:rsid w:val="0076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90157">
      <w:bodyDiv w:val="1"/>
      <w:marLeft w:val="0"/>
      <w:marRight w:val="0"/>
      <w:marTop w:val="0"/>
      <w:marBottom w:val="0"/>
      <w:divBdr>
        <w:top w:val="none" w:sz="0" w:space="0" w:color="auto"/>
        <w:left w:val="none" w:sz="0" w:space="0" w:color="auto"/>
        <w:bottom w:val="none" w:sz="0" w:space="0" w:color="auto"/>
        <w:right w:val="none" w:sz="0" w:space="0" w:color="auto"/>
      </w:divBdr>
      <w:divsChild>
        <w:div w:id="2119332912">
          <w:marLeft w:val="274"/>
          <w:marRight w:val="0"/>
          <w:marTop w:val="150"/>
          <w:marBottom w:val="0"/>
          <w:divBdr>
            <w:top w:val="none" w:sz="0" w:space="0" w:color="auto"/>
            <w:left w:val="none" w:sz="0" w:space="0" w:color="auto"/>
            <w:bottom w:val="none" w:sz="0" w:space="0" w:color="auto"/>
            <w:right w:val="none" w:sz="0" w:space="0" w:color="auto"/>
          </w:divBdr>
        </w:div>
        <w:div w:id="718436095">
          <w:marLeft w:val="274"/>
          <w:marRight w:val="0"/>
          <w:marTop w:val="150"/>
          <w:marBottom w:val="0"/>
          <w:divBdr>
            <w:top w:val="none" w:sz="0" w:space="0" w:color="auto"/>
            <w:left w:val="none" w:sz="0" w:space="0" w:color="auto"/>
            <w:bottom w:val="none" w:sz="0" w:space="0" w:color="auto"/>
            <w:right w:val="none" w:sz="0" w:space="0" w:color="auto"/>
          </w:divBdr>
        </w:div>
        <w:div w:id="923341328">
          <w:marLeft w:val="274"/>
          <w:marRight w:val="0"/>
          <w:marTop w:val="150"/>
          <w:marBottom w:val="0"/>
          <w:divBdr>
            <w:top w:val="none" w:sz="0" w:space="0" w:color="auto"/>
            <w:left w:val="none" w:sz="0" w:space="0" w:color="auto"/>
            <w:bottom w:val="none" w:sz="0" w:space="0" w:color="auto"/>
            <w:right w:val="none" w:sz="0" w:space="0" w:color="auto"/>
          </w:divBdr>
        </w:div>
        <w:div w:id="1936740447">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esourcecentre.savethechildren.se/sites/default/files/documents/6658.pdf" TargetMode="External"/><Relationship Id="rId18" Type="http://schemas.openxmlformats.org/officeDocument/2006/relationships/hyperlink" Target="http://www.preventionweb.net/files/7344_DPforSchoolssm.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www.unicef.org/wash/files/GWP_UNICEF_Tech_A_WEB.PDF" TargetMode="External"/><Relationship Id="rId17" Type="http://schemas.openxmlformats.org/officeDocument/2006/relationships/hyperlink" Target="http://www.unisdr.org/files/11599_GuidanceNotesSafeSchools1.pdf" TargetMode="External"/><Relationship Id="rId25" Type="http://schemas.openxmlformats.org/officeDocument/2006/relationships/hyperlink" Target="http://ec.europa.eu/echo/files/policies/prevention_preparedness/DRR_thematic_policy_doc.pdf" TargetMode="External"/><Relationship Id="rId2" Type="http://schemas.openxmlformats.org/officeDocument/2006/relationships/numbering" Target="numbering.xml"/><Relationship Id="rId16" Type="http://schemas.openxmlformats.org/officeDocument/2006/relationships/hyperlink" Target="http://gadrrres.net/resources/comprehensive-school-safety-framework" TargetMode="External"/><Relationship Id="rId20" Type="http://schemas.openxmlformats.org/officeDocument/2006/relationships/hyperlink" Target="https://openknowledge.worldbank.org/handle/10986/188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ef.org/wash/files/Strategic_Framework_WEB.PDF" TargetMode="External"/><Relationship Id="rId24" Type="http://schemas.openxmlformats.org/officeDocument/2006/relationships/hyperlink" Target="http://www.unicefinemergencies.com/downloads/eresource/docs/DRR/DRR_ONE_PAGER_NUTRITION.pdf"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unisdr.org/we/inform/publications/19984" TargetMode="External"/><Relationship Id="rId28" Type="http://schemas.openxmlformats.org/officeDocument/2006/relationships/fontTable" Target="fontTable.xml"/><Relationship Id="rId10" Type="http://schemas.openxmlformats.org/officeDocument/2006/relationships/hyperlink" Target="http://ec.europa.eu/echo/files/policies/prevention_preparedness/DRR_thematic_policy_doc.pdf" TargetMode="External"/><Relationship Id="rId19" Type="http://schemas.openxmlformats.org/officeDocument/2006/relationships/hyperlink" Target="http://www.unisdr.org/files/35274_2012schoolsafetyglobalbaseline.pdf" TargetMode="External"/><Relationship Id="rId4" Type="http://schemas.openxmlformats.org/officeDocument/2006/relationships/settings" Target="settings.xml"/><Relationship Id="rId9" Type="http://schemas.openxmlformats.org/officeDocument/2006/relationships/hyperlink" Target="http://water.care2share.wikispaces.net/file/view/Disaster+Risk+Reduction+and+WASH.pdf" TargetMode="External"/><Relationship Id="rId14" Type="http://schemas.openxmlformats.org/officeDocument/2006/relationships/hyperlink" Target="http://www.paho.org/english/dd/ped/DesafiodelAgua.htm" TargetMode="External"/><Relationship Id="rId22" Type="http://schemas.openxmlformats.org/officeDocument/2006/relationships/hyperlink" Target="http://www.fao.org/docrep/015/i2540e/i2540e00.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568A1-0916-46F1-A9A5-4A0E0299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3011</Words>
  <Characters>17165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Chaix</dc:creator>
  <cp:keywords/>
  <dc:description/>
  <cp:lastModifiedBy>Jessica Chaix</cp:lastModifiedBy>
  <cp:revision>43</cp:revision>
  <dcterms:created xsi:type="dcterms:W3CDTF">2015-09-03T10:48:00Z</dcterms:created>
  <dcterms:modified xsi:type="dcterms:W3CDTF">2015-09-18T03:06:00Z</dcterms:modified>
</cp:coreProperties>
</file>