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55EF9" w14:textId="429AF2FE" w:rsidR="003D4872" w:rsidRPr="001371CF" w:rsidRDefault="00BE70BB">
      <w:pPr>
        <w:rPr>
          <w:rFonts w:cstheme="minorHAnsi"/>
          <w:b/>
        </w:rPr>
      </w:pPr>
      <w:r>
        <w:rPr>
          <w:rFonts w:cstheme="minorHAnsi"/>
          <w:b/>
        </w:rPr>
        <w:t xml:space="preserve">HCT </w:t>
      </w:r>
      <w:r w:rsidR="003B72DC" w:rsidRPr="001371CF">
        <w:rPr>
          <w:rFonts w:cstheme="minorHAnsi"/>
          <w:b/>
        </w:rPr>
        <w:t>PSEA STRATEGY: 2019-2020</w:t>
      </w:r>
    </w:p>
    <w:p w14:paraId="14D92B22" w14:textId="77777777" w:rsidR="003B72DC" w:rsidRDefault="003B72DC">
      <w:pPr>
        <w:rPr>
          <w:rFonts w:cstheme="minorHAnsi"/>
          <w:b/>
        </w:rPr>
      </w:pPr>
    </w:p>
    <w:p w14:paraId="6A58856D" w14:textId="77777777" w:rsidR="001371CF" w:rsidRPr="001371CF" w:rsidRDefault="001371CF">
      <w:pPr>
        <w:rPr>
          <w:rFonts w:cstheme="minorHAnsi"/>
          <w:b/>
        </w:rPr>
      </w:pPr>
      <w:r>
        <w:rPr>
          <w:rFonts w:cstheme="minorHAnsi"/>
          <w:b/>
        </w:rPr>
        <w:t>Commitment to PSEA</w:t>
      </w:r>
      <w:r w:rsidR="006E1AC9">
        <w:rPr>
          <w:rFonts w:cstheme="minorHAnsi"/>
          <w:b/>
        </w:rPr>
        <w:t xml:space="preserve"> </w:t>
      </w:r>
    </w:p>
    <w:p w14:paraId="61038AC6" w14:textId="16D6FCF4" w:rsidR="003B7225" w:rsidRPr="001371CF" w:rsidRDefault="003B72DC" w:rsidP="003B72DC">
      <w:pPr>
        <w:jc w:val="both"/>
        <w:rPr>
          <w:rFonts w:eastAsiaTheme="minorEastAsia" w:cstheme="minorHAnsi"/>
          <w:lang w:bidi="en-US"/>
        </w:rPr>
      </w:pPr>
      <w:r w:rsidRPr="001371CF">
        <w:rPr>
          <w:rFonts w:eastAsiaTheme="minorEastAsia" w:cstheme="minorHAnsi"/>
          <w:lang w:bidi="en-US"/>
        </w:rPr>
        <w:t>The UN and its partners in Myanmar ha</w:t>
      </w:r>
      <w:r w:rsidR="009D6EDC">
        <w:rPr>
          <w:rFonts w:eastAsiaTheme="minorEastAsia" w:cstheme="minorHAnsi"/>
          <w:lang w:bidi="en-US"/>
        </w:rPr>
        <w:t>ve</w:t>
      </w:r>
      <w:r w:rsidRPr="001371CF">
        <w:rPr>
          <w:rFonts w:eastAsiaTheme="minorEastAsia" w:cstheme="minorHAnsi"/>
          <w:lang w:bidi="en-US"/>
        </w:rPr>
        <w:t xml:space="preserve"> a zero-tolerance policy </w:t>
      </w:r>
      <w:r w:rsidR="003B7225" w:rsidRPr="001371CF">
        <w:rPr>
          <w:rFonts w:eastAsiaTheme="minorEastAsia" w:cstheme="minorHAnsi"/>
          <w:lang w:bidi="en-US"/>
        </w:rPr>
        <w:t>on</w:t>
      </w:r>
      <w:r w:rsidRPr="001371CF">
        <w:rPr>
          <w:rFonts w:eastAsiaTheme="minorEastAsia" w:cstheme="minorHAnsi"/>
          <w:lang w:bidi="en-US"/>
        </w:rPr>
        <w:t xml:space="preserve"> sexual exploitation and abuse (SEA).</w:t>
      </w:r>
      <w:r w:rsidR="00015384">
        <w:rPr>
          <w:rStyle w:val="FootnoteReference"/>
          <w:rFonts w:eastAsiaTheme="minorEastAsia" w:cstheme="minorHAnsi"/>
          <w:lang w:bidi="en-US"/>
        </w:rPr>
        <w:footnoteReference w:id="1"/>
      </w:r>
      <w:r w:rsidRPr="001371CF">
        <w:rPr>
          <w:rFonts w:eastAsiaTheme="minorEastAsia" w:cstheme="minorHAnsi"/>
          <w:lang w:bidi="en-US"/>
        </w:rPr>
        <w:t xml:space="preserve"> This strategy affirms the commitment of the UN in Myanmar and partners to actively prevent and respond to </w:t>
      </w:r>
      <w:r w:rsidR="003B7225" w:rsidRPr="001371CF">
        <w:rPr>
          <w:rFonts w:eastAsiaTheme="minorEastAsia" w:cstheme="minorHAnsi"/>
          <w:lang w:bidi="en-US"/>
        </w:rPr>
        <w:t xml:space="preserve">incidents of </w:t>
      </w:r>
      <w:r w:rsidR="00D77479">
        <w:rPr>
          <w:rFonts w:eastAsiaTheme="minorEastAsia" w:cstheme="minorHAnsi"/>
          <w:lang w:bidi="en-US"/>
        </w:rPr>
        <w:t>SEA</w:t>
      </w:r>
      <w:r w:rsidRPr="001371CF">
        <w:rPr>
          <w:rFonts w:eastAsiaTheme="minorEastAsia" w:cstheme="minorHAnsi"/>
          <w:lang w:bidi="en-US"/>
        </w:rPr>
        <w:t xml:space="preserve"> by staff and affiliated personnel. </w:t>
      </w:r>
      <w:r w:rsidR="003B7225" w:rsidRPr="001371CF">
        <w:rPr>
          <w:rFonts w:eastAsiaTheme="minorEastAsia" w:cstheme="minorHAnsi"/>
          <w:lang w:bidi="en-US"/>
        </w:rPr>
        <w:t>It is never acceptable for any person in a position of power to abuse their authority under any circumstances and especiall</w:t>
      </w:r>
      <w:r w:rsidR="00B9632F" w:rsidRPr="001371CF">
        <w:rPr>
          <w:rFonts w:eastAsiaTheme="minorEastAsia" w:cstheme="minorHAnsi"/>
          <w:lang w:bidi="en-US"/>
        </w:rPr>
        <w:t xml:space="preserve">y against the most vulnerable. </w:t>
      </w:r>
      <w:r w:rsidR="008D7C8A" w:rsidRPr="001371CF">
        <w:rPr>
          <w:rFonts w:eastAsiaTheme="minorEastAsia" w:cstheme="minorHAnsi"/>
          <w:lang w:bidi="en-US"/>
        </w:rPr>
        <w:t>Acts of SEA undermine the credibility of the UN and its partners and</w:t>
      </w:r>
      <w:r w:rsidR="00BF66A8">
        <w:rPr>
          <w:rFonts w:eastAsiaTheme="minorEastAsia" w:cstheme="minorHAnsi"/>
          <w:lang w:bidi="en-US"/>
        </w:rPr>
        <w:t xml:space="preserve"> breaches</w:t>
      </w:r>
      <w:r w:rsidR="008D7C8A" w:rsidRPr="001371CF">
        <w:rPr>
          <w:rFonts w:eastAsiaTheme="minorEastAsia" w:cstheme="minorHAnsi"/>
          <w:lang w:bidi="en-US"/>
        </w:rPr>
        <w:t xml:space="preserve"> the principle of do no harm.  </w:t>
      </w:r>
      <w:r w:rsidRPr="001371CF">
        <w:rPr>
          <w:rFonts w:eastAsiaTheme="minorEastAsia" w:cstheme="minorHAnsi"/>
          <w:lang w:bidi="en-US"/>
        </w:rPr>
        <w:t>The UN and its partners recognize the</w:t>
      </w:r>
      <w:r w:rsidR="00BF66A8">
        <w:rPr>
          <w:rFonts w:eastAsiaTheme="minorEastAsia" w:cstheme="minorHAnsi"/>
          <w:lang w:bidi="en-US"/>
        </w:rPr>
        <w:t>ir</w:t>
      </w:r>
      <w:r w:rsidRPr="001371CF">
        <w:rPr>
          <w:rFonts w:eastAsiaTheme="minorEastAsia" w:cstheme="minorHAnsi"/>
          <w:lang w:bidi="en-US"/>
        </w:rPr>
        <w:t xml:space="preserve"> leadership responsibility to strengthen the fight against SEA in Myanmar in order to achieve a true system of collective accountability.</w:t>
      </w:r>
      <w:r w:rsidR="008D7C8A" w:rsidRPr="001371CF">
        <w:rPr>
          <w:rFonts w:eastAsiaTheme="minorEastAsia" w:cstheme="minorHAnsi"/>
          <w:lang w:bidi="en-US"/>
        </w:rPr>
        <w:t xml:space="preserve">  </w:t>
      </w:r>
    </w:p>
    <w:p w14:paraId="5FEFC883" w14:textId="77777777" w:rsidR="00B9632F" w:rsidRDefault="00BF66A8" w:rsidP="003B72DC">
      <w:pPr>
        <w:jc w:val="both"/>
        <w:rPr>
          <w:rFonts w:eastAsiaTheme="minorEastAsia" w:cstheme="minorHAnsi"/>
          <w:lang w:bidi="en-US"/>
        </w:rPr>
      </w:pPr>
      <w:r>
        <w:rPr>
          <w:rFonts w:eastAsiaTheme="minorEastAsia" w:cstheme="minorHAnsi"/>
          <w:lang w:bidi="en-US"/>
        </w:rPr>
        <w:t xml:space="preserve">SEA refers specifically to acts committed against members of the affected population by humanitarian and development actors, including international and national personnel of the UN and of NGOs.  SEA represents a failure on the part of </w:t>
      </w:r>
      <w:proofErr w:type="spellStart"/>
      <w:r>
        <w:rPr>
          <w:rFonts w:eastAsiaTheme="minorEastAsia" w:cstheme="minorHAnsi"/>
          <w:lang w:bidi="en-US"/>
        </w:rPr>
        <w:t>organisations</w:t>
      </w:r>
      <w:proofErr w:type="spellEnd"/>
      <w:r>
        <w:rPr>
          <w:rFonts w:eastAsiaTheme="minorEastAsia" w:cstheme="minorHAnsi"/>
          <w:lang w:bidi="en-US"/>
        </w:rPr>
        <w:t xml:space="preserve"> to provide protection and care for communities, especially for the most vulnerable members of the population.  </w:t>
      </w:r>
    </w:p>
    <w:p w14:paraId="0CEC29BA" w14:textId="77777777" w:rsidR="006E1AC9" w:rsidRDefault="006E1AC9" w:rsidP="003B72DC">
      <w:pPr>
        <w:jc w:val="both"/>
        <w:rPr>
          <w:rFonts w:eastAsiaTheme="minorEastAsia" w:cstheme="minorHAnsi"/>
          <w:b/>
          <w:lang w:bidi="en-US"/>
        </w:rPr>
      </w:pPr>
      <w:r>
        <w:rPr>
          <w:rFonts w:eastAsiaTheme="minorEastAsia" w:cstheme="minorHAnsi"/>
          <w:b/>
          <w:lang w:bidi="en-US"/>
        </w:rPr>
        <w:t>Vision</w:t>
      </w:r>
    </w:p>
    <w:p w14:paraId="598B0DEE" w14:textId="7E1E38D5" w:rsidR="00DF5AF3" w:rsidRDefault="006E1AC9" w:rsidP="00465298">
      <w:pPr>
        <w:jc w:val="both"/>
        <w:rPr>
          <w:rFonts w:eastAsiaTheme="minorEastAsia" w:cstheme="minorHAnsi"/>
          <w:lang w:bidi="en-US"/>
        </w:rPr>
      </w:pPr>
      <w:r>
        <w:rPr>
          <w:rFonts w:eastAsiaTheme="minorEastAsia" w:cstheme="minorHAnsi"/>
          <w:lang w:bidi="en-US"/>
        </w:rPr>
        <w:t xml:space="preserve">The ultimate goal is to establish a robust and sustainable system among </w:t>
      </w:r>
      <w:r w:rsidR="00EF5446">
        <w:rPr>
          <w:rFonts w:eastAsiaTheme="minorEastAsia" w:cstheme="minorHAnsi"/>
          <w:lang w:bidi="en-US"/>
        </w:rPr>
        <w:t xml:space="preserve">humanitarian and development actors </w:t>
      </w:r>
      <w:r>
        <w:rPr>
          <w:rFonts w:eastAsiaTheme="minorEastAsia" w:cstheme="minorHAnsi"/>
          <w:lang w:bidi="en-US"/>
        </w:rPr>
        <w:t xml:space="preserve">to prevent, investigate and respond to incidents of SEA.  Communities </w:t>
      </w:r>
      <w:r w:rsidR="00512E0D">
        <w:rPr>
          <w:rFonts w:eastAsiaTheme="minorEastAsia" w:cstheme="minorHAnsi"/>
          <w:lang w:bidi="en-US"/>
        </w:rPr>
        <w:t xml:space="preserve">and individuals </w:t>
      </w:r>
      <w:r>
        <w:rPr>
          <w:rFonts w:eastAsiaTheme="minorEastAsia" w:cstheme="minorHAnsi"/>
          <w:lang w:bidi="en-US"/>
        </w:rPr>
        <w:t xml:space="preserve">should be empowered to report incidents and should be confident that their complaints </w:t>
      </w:r>
      <w:proofErr w:type="gramStart"/>
      <w:r>
        <w:rPr>
          <w:rFonts w:eastAsiaTheme="minorEastAsia" w:cstheme="minorHAnsi"/>
          <w:lang w:bidi="en-US"/>
        </w:rPr>
        <w:t>will be handled</w:t>
      </w:r>
      <w:proofErr w:type="gramEnd"/>
      <w:r>
        <w:rPr>
          <w:rFonts w:eastAsiaTheme="minorEastAsia" w:cstheme="minorHAnsi"/>
          <w:lang w:bidi="en-US"/>
        </w:rPr>
        <w:t xml:space="preserve"> efficiently</w:t>
      </w:r>
      <w:r w:rsidR="006418C4">
        <w:rPr>
          <w:rFonts w:eastAsiaTheme="minorEastAsia" w:cstheme="minorHAnsi"/>
          <w:lang w:bidi="en-US"/>
        </w:rPr>
        <w:t>, safely</w:t>
      </w:r>
      <w:r>
        <w:rPr>
          <w:rFonts w:eastAsiaTheme="minorEastAsia" w:cstheme="minorHAnsi"/>
          <w:lang w:bidi="en-US"/>
        </w:rPr>
        <w:t xml:space="preserve"> and confidentially.  Perpetrators </w:t>
      </w:r>
      <w:proofErr w:type="gramStart"/>
      <w:r>
        <w:rPr>
          <w:rFonts w:eastAsiaTheme="minorEastAsia" w:cstheme="minorHAnsi"/>
          <w:lang w:bidi="en-US"/>
        </w:rPr>
        <w:t>should be held</w:t>
      </w:r>
      <w:proofErr w:type="gramEnd"/>
      <w:r>
        <w:rPr>
          <w:rFonts w:eastAsiaTheme="minorEastAsia" w:cstheme="minorHAnsi"/>
          <w:lang w:bidi="en-US"/>
        </w:rPr>
        <w:t xml:space="preserve"> to account and disciplinary action taken </w:t>
      </w:r>
      <w:r w:rsidR="00D77479">
        <w:rPr>
          <w:rFonts w:eastAsiaTheme="minorEastAsia" w:cstheme="minorHAnsi"/>
          <w:lang w:bidi="en-US"/>
        </w:rPr>
        <w:t xml:space="preserve">to promote justice and accountability, to </w:t>
      </w:r>
      <w:r w:rsidR="00F2101E">
        <w:rPr>
          <w:rFonts w:eastAsiaTheme="minorEastAsia" w:cstheme="minorHAnsi"/>
          <w:lang w:bidi="en-US"/>
        </w:rPr>
        <w:t xml:space="preserve">support </w:t>
      </w:r>
      <w:r w:rsidR="00D77479">
        <w:rPr>
          <w:rFonts w:eastAsiaTheme="minorEastAsia" w:cstheme="minorHAnsi"/>
          <w:lang w:bidi="en-US"/>
        </w:rPr>
        <w:t xml:space="preserve">victims, and </w:t>
      </w:r>
      <w:r>
        <w:rPr>
          <w:rFonts w:eastAsiaTheme="minorEastAsia" w:cstheme="minorHAnsi"/>
          <w:lang w:bidi="en-US"/>
        </w:rPr>
        <w:t xml:space="preserve">as an example to others.  The overall vision is </w:t>
      </w:r>
      <w:r w:rsidR="00D77479">
        <w:rPr>
          <w:rFonts w:eastAsiaTheme="minorEastAsia" w:cstheme="minorHAnsi"/>
          <w:lang w:bidi="en-US"/>
        </w:rPr>
        <w:t xml:space="preserve">that the </w:t>
      </w:r>
      <w:r>
        <w:rPr>
          <w:rFonts w:eastAsiaTheme="minorEastAsia" w:cstheme="minorHAnsi"/>
          <w:lang w:bidi="en-US"/>
        </w:rPr>
        <w:t xml:space="preserve">humanitarian and development community treats beneficiaries with </w:t>
      </w:r>
      <w:bookmarkStart w:id="0" w:name="_GoBack"/>
      <w:bookmarkEnd w:id="0"/>
      <w:r>
        <w:rPr>
          <w:rFonts w:eastAsiaTheme="minorEastAsia" w:cstheme="minorHAnsi"/>
          <w:lang w:bidi="en-US"/>
        </w:rPr>
        <w:t>dignit</w:t>
      </w:r>
      <w:r w:rsidR="0081575B">
        <w:rPr>
          <w:rFonts w:eastAsiaTheme="minorEastAsia" w:cstheme="minorHAnsi"/>
          <w:lang w:bidi="en-US"/>
        </w:rPr>
        <w:t xml:space="preserve">y and respect, and a strong message sent </w:t>
      </w:r>
      <w:r w:rsidR="00B86CB3">
        <w:rPr>
          <w:rFonts w:eastAsiaTheme="minorEastAsia" w:cstheme="minorHAnsi"/>
          <w:lang w:bidi="en-US"/>
        </w:rPr>
        <w:t xml:space="preserve">that there is no place for SEA within </w:t>
      </w:r>
      <w:r w:rsidR="00D77479">
        <w:rPr>
          <w:rFonts w:eastAsiaTheme="minorEastAsia" w:cstheme="minorHAnsi"/>
          <w:lang w:bidi="en-US"/>
        </w:rPr>
        <w:t xml:space="preserve">the delivery of humanitarian aid or development assistance. </w:t>
      </w:r>
    </w:p>
    <w:p w14:paraId="1591530F" w14:textId="48009619" w:rsidR="001371CF" w:rsidRDefault="001371CF" w:rsidP="003B72DC">
      <w:pPr>
        <w:jc w:val="both"/>
        <w:rPr>
          <w:rFonts w:eastAsiaTheme="minorEastAsia" w:cstheme="minorHAnsi"/>
          <w:b/>
          <w:lang w:bidi="en-US"/>
        </w:rPr>
      </w:pPr>
      <w:r>
        <w:rPr>
          <w:rFonts w:eastAsiaTheme="minorEastAsia" w:cstheme="minorHAnsi"/>
          <w:b/>
          <w:lang w:bidi="en-US"/>
        </w:rPr>
        <w:t>Structure</w:t>
      </w:r>
    </w:p>
    <w:p w14:paraId="032C2DC9" w14:textId="3668DC46" w:rsidR="00B85144" w:rsidRDefault="000D7A7F" w:rsidP="003B72DC">
      <w:pPr>
        <w:jc w:val="both"/>
        <w:rPr>
          <w:rFonts w:eastAsiaTheme="minorEastAsia" w:cstheme="minorHAnsi"/>
          <w:lang w:bidi="en-US"/>
        </w:rPr>
      </w:pPr>
      <w:r>
        <w:rPr>
          <w:rFonts w:eastAsiaTheme="minorEastAsia" w:cstheme="minorHAnsi"/>
          <w:lang w:bidi="en-US"/>
        </w:rPr>
        <w:t>The Resident Coordinator/Humanitarian</w:t>
      </w:r>
      <w:r w:rsidR="00015384">
        <w:rPr>
          <w:rFonts w:eastAsiaTheme="minorEastAsia" w:cstheme="minorHAnsi"/>
          <w:lang w:bidi="en-US"/>
        </w:rPr>
        <w:t xml:space="preserve"> Coordinator in Myanmar has system-wide responsibility for developing collective </w:t>
      </w:r>
      <w:r w:rsidR="00BD7F83">
        <w:rPr>
          <w:rFonts w:eastAsiaTheme="minorEastAsia" w:cstheme="minorHAnsi"/>
          <w:lang w:bidi="en-US"/>
        </w:rPr>
        <w:t xml:space="preserve">prevention of </w:t>
      </w:r>
      <w:r w:rsidR="00015384">
        <w:rPr>
          <w:rFonts w:eastAsiaTheme="minorEastAsia" w:cstheme="minorHAnsi"/>
          <w:lang w:bidi="en-US"/>
        </w:rPr>
        <w:t xml:space="preserve">SEA strategies and ensuring that action plans </w:t>
      </w:r>
      <w:proofErr w:type="gramStart"/>
      <w:r w:rsidR="00015384">
        <w:rPr>
          <w:rFonts w:eastAsiaTheme="minorEastAsia" w:cstheme="minorHAnsi"/>
          <w:lang w:bidi="en-US"/>
        </w:rPr>
        <w:t>are implemented</w:t>
      </w:r>
      <w:proofErr w:type="gramEnd"/>
      <w:r w:rsidR="00015384">
        <w:rPr>
          <w:rFonts w:eastAsiaTheme="minorEastAsia" w:cstheme="minorHAnsi"/>
          <w:lang w:bidi="en-US"/>
        </w:rPr>
        <w:t>, and assisting victims of SEA.</w:t>
      </w:r>
      <w:r w:rsidR="00015384">
        <w:rPr>
          <w:rStyle w:val="FootnoteReference"/>
          <w:rFonts w:eastAsiaTheme="minorEastAsia" w:cstheme="minorHAnsi"/>
          <w:lang w:bidi="en-US"/>
        </w:rPr>
        <w:footnoteReference w:id="2"/>
      </w:r>
      <w:r w:rsidR="00015384">
        <w:rPr>
          <w:rFonts w:eastAsiaTheme="minorEastAsia" w:cstheme="minorHAnsi"/>
          <w:lang w:bidi="en-US"/>
        </w:rPr>
        <w:t xml:space="preserve"> </w:t>
      </w:r>
      <w:r w:rsidR="002A590C">
        <w:rPr>
          <w:rFonts w:eastAsiaTheme="minorEastAsia" w:cstheme="minorHAnsi"/>
          <w:lang w:bidi="en-US"/>
        </w:rPr>
        <w:t>The HCT has a mandatory responsibility to ensure that a collective mechanism and approach to protection from SEA is in place, including a Code of Conduct for humanitarian workers.</w:t>
      </w:r>
      <w:r w:rsidR="00843AE8">
        <w:rPr>
          <w:rStyle w:val="FootnoteReference"/>
          <w:rFonts w:eastAsiaTheme="minorEastAsia" w:cstheme="minorHAnsi"/>
          <w:lang w:bidi="en-US"/>
        </w:rPr>
        <w:footnoteReference w:id="3"/>
      </w:r>
      <w:r w:rsidR="002A590C">
        <w:rPr>
          <w:rFonts w:eastAsiaTheme="minorEastAsia" w:cstheme="minorHAnsi"/>
          <w:lang w:bidi="en-US"/>
        </w:rPr>
        <w:t xml:space="preserve">  </w:t>
      </w:r>
      <w:r w:rsidR="00B85144">
        <w:rPr>
          <w:rFonts w:eastAsiaTheme="minorEastAsia" w:cstheme="minorHAnsi"/>
          <w:lang w:bidi="en-US"/>
        </w:rPr>
        <w:t xml:space="preserve">A </w:t>
      </w:r>
      <w:r w:rsidR="00414A80">
        <w:rPr>
          <w:rFonts w:eastAsiaTheme="minorEastAsia" w:cstheme="minorHAnsi"/>
          <w:lang w:bidi="en-US"/>
        </w:rPr>
        <w:t>Protection from Sexual Exploitation and Abuse (</w:t>
      </w:r>
      <w:r w:rsidR="00B85144">
        <w:rPr>
          <w:rFonts w:eastAsiaTheme="minorEastAsia" w:cstheme="minorHAnsi"/>
          <w:lang w:bidi="en-US"/>
        </w:rPr>
        <w:t>PSEA</w:t>
      </w:r>
      <w:r w:rsidR="00414A80">
        <w:rPr>
          <w:rFonts w:eastAsiaTheme="minorEastAsia" w:cstheme="minorHAnsi"/>
          <w:lang w:bidi="en-US"/>
        </w:rPr>
        <w:t>)</w:t>
      </w:r>
      <w:r w:rsidR="00B85144">
        <w:rPr>
          <w:rFonts w:eastAsiaTheme="minorEastAsia" w:cstheme="minorHAnsi"/>
          <w:lang w:bidi="en-US"/>
        </w:rPr>
        <w:t xml:space="preserve"> Network </w:t>
      </w:r>
      <w:proofErr w:type="gramStart"/>
      <w:r w:rsidR="00EF5446">
        <w:rPr>
          <w:rFonts w:eastAsiaTheme="minorEastAsia" w:cstheme="minorHAnsi"/>
          <w:lang w:bidi="en-US"/>
        </w:rPr>
        <w:t>has been established</w:t>
      </w:r>
      <w:proofErr w:type="gramEnd"/>
      <w:r w:rsidR="00EF5446">
        <w:rPr>
          <w:rFonts w:eastAsiaTheme="minorEastAsia" w:cstheme="minorHAnsi"/>
          <w:lang w:bidi="en-US"/>
        </w:rPr>
        <w:t xml:space="preserve"> in Myanmar</w:t>
      </w:r>
      <w:r w:rsidR="00BD7F83">
        <w:rPr>
          <w:rFonts w:eastAsiaTheme="minorEastAsia" w:cstheme="minorHAnsi"/>
          <w:lang w:bidi="en-US"/>
        </w:rPr>
        <w:t xml:space="preserve"> to carry out operational functions for the prevention of SEA.  </w:t>
      </w:r>
      <w:r w:rsidR="00EF5446">
        <w:rPr>
          <w:rFonts w:eastAsiaTheme="minorEastAsia" w:cstheme="minorHAnsi"/>
          <w:lang w:bidi="en-US"/>
        </w:rPr>
        <w:t>The Network provides updates to the HCT and RC/HC.</w:t>
      </w:r>
      <w:r w:rsidR="00124CD9">
        <w:rPr>
          <w:rFonts w:eastAsiaTheme="minorEastAsia" w:cstheme="minorHAnsi"/>
          <w:lang w:bidi="en-US"/>
        </w:rPr>
        <w:t xml:space="preserve">  </w:t>
      </w:r>
      <w:r w:rsidR="00897DE4">
        <w:rPr>
          <w:rFonts w:eastAsiaTheme="minorEastAsia" w:cstheme="minorHAnsi"/>
          <w:lang w:bidi="en-US"/>
        </w:rPr>
        <w:t xml:space="preserve">A dedicated PSEA working group </w:t>
      </w:r>
      <w:proofErr w:type="gramStart"/>
      <w:r w:rsidR="00897DE4">
        <w:rPr>
          <w:rFonts w:eastAsiaTheme="minorEastAsia" w:cstheme="minorHAnsi"/>
          <w:lang w:bidi="en-US"/>
        </w:rPr>
        <w:t>has also been established</w:t>
      </w:r>
      <w:proofErr w:type="gramEnd"/>
      <w:r w:rsidR="00897DE4">
        <w:rPr>
          <w:rFonts w:eastAsiaTheme="minorEastAsia" w:cstheme="minorHAnsi"/>
          <w:lang w:bidi="en-US"/>
        </w:rPr>
        <w:t xml:space="preserve"> in </w:t>
      </w:r>
      <w:r w:rsidR="00582B73">
        <w:rPr>
          <w:rFonts w:eastAsiaTheme="minorEastAsia" w:cstheme="minorHAnsi"/>
          <w:lang w:bidi="en-US"/>
        </w:rPr>
        <w:t xml:space="preserve">central </w:t>
      </w:r>
      <w:proofErr w:type="spellStart"/>
      <w:r w:rsidR="00897DE4">
        <w:rPr>
          <w:rFonts w:eastAsiaTheme="minorEastAsia" w:cstheme="minorHAnsi"/>
          <w:lang w:bidi="en-US"/>
        </w:rPr>
        <w:t>Rakhine</w:t>
      </w:r>
      <w:proofErr w:type="spellEnd"/>
      <w:r w:rsidR="00897DE4">
        <w:rPr>
          <w:rFonts w:eastAsiaTheme="minorEastAsia" w:cstheme="minorHAnsi"/>
          <w:lang w:bidi="en-US"/>
        </w:rPr>
        <w:t xml:space="preserve"> State chaired by UNHCR. </w:t>
      </w:r>
      <w:r w:rsidR="00512E0D">
        <w:rPr>
          <w:rFonts w:eastAsiaTheme="minorEastAsia" w:cstheme="minorHAnsi"/>
          <w:lang w:bidi="en-US"/>
        </w:rPr>
        <w:t xml:space="preserve"> </w:t>
      </w:r>
      <w:r w:rsidR="00124CD9">
        <w:rPr>
          <w:rFonts w:eastAsiaTheme="minorEastAsia" w:cstheme="minorHAnsi"/>
          <w:lang w:bidi="en-US"/>
        </w:rPr>
        <w:t xml:space="preserve">As Myanmar is a context in which both HCT and UNCT are present, the </w:t>
      </w:r>
      <w:r w:rsidR="00897DE4">
        <w:rPr>
          <w:rFonts w:eastAsiaTheme="minorEastAsia" w:cstheme="minorHAnsi"/>
          <w:lang w:bidi="en-US"/>
        </w:rPr>
        <w:t xml:space="preserve">national </w:t>
      </w:r>
      <w:r w:rsidR="00124CD9">
        <w:rPr>
          <w:rFonts w:eastAsiaTheme="minorEastAsia" w:cstheme="minorHAnsi"/>
          <w:lang w:bidi="en-US"/>
        </w:rPr>
        <w:t xml:space="preserve">Network will also engage with the UNCT in order to give prevalence to this important matter and affirm commitment across development actors.  </w:t>
      </w:r>
    </w:p>
    <w:p w14:paraId="16088B96" w14:textId="4B35DED5" w:rsidR="005B3FAE" w:rsidRPr="001371CF" w:rsidRDefault="005B3FAE" w:rsidP="003B72DC">
      <w:pPr>
        <w:jc w:val="both"/>
        <w:rPr>
          <w:rFonts w:eastAsiaTheme="minorEastAsia" w:cstheme="minorHAnsi"/>
          <w:lang w:bidi="en-US"/>
        </w:rPr>
      </w:pPr>
      <w:r>
        <w:rPr>
          <w:rFonts w:eastAsiaTheme="minorEastAsia" w:cstheme="minorHAnsi"/>
          <w:lang w:bidi="en-US"/>
        </w:rPr>
        <w:lastRenderedPageBreak/>
        <w:t xml:space="preserve">The UN will take a strong leadership role in </w:t>
      </w:r>
      <w:r w:rsidR="001C4275">
        <w:rPr>
          <w:rFonts w:eastAsiaTheme="minorEastAsia" w:cstheme="minorHAnsi"/>
          <w:lang w:bidi="en-US"/>
        </w:rPr>
        <w:t>requiring</w:t>
      </w:r>
      <w:r>
        <w:rPr>
          <w:rFonts w:eastAsiaTheme="minorEastAsia" w:cstheme="minorHAnsi"/>
          <w:lang w:bidi="en-US"/>
        </w:rPr>
        <w:t xml:space="preserve"> one-hundred percent compliance </w:t>
      </w:r>
      <w:r w:rsidR="00512E0D">
        <w:rPr>
          <w:rFonts w:eastAsiaTheme="minorEastAsia" w:cstheme="minorHAnsi"/>
          <w:lang w:bidi="en-US"/>
        </w:rPr>
        <w:t xml:space="preserve">with PSEA policies </w:t>
      </w:r>
      <w:r>
        <w:rPr>
          <w:rFonts w:eastAsiaTheme="minorEastAsia" w:cstheme="minorHAnsi"/>
          <w:lang w:bidi="en-US"/>
        </w:rPr>
        <w:t xml:space="preserve">amongst its own staff and implementing partner </w:t>
      </w:r>
      <w:proofErr w:type="spellStart"/>
      <w:r>
        <w:rPr>
          <w:rFonts w:eastAsiaTheme="minorEastAsia" w:cstheme="minorHAnsi"/>
          <w:lang w:bidi="en-US"/>
        </w:rPr>
        <w:t>organisations</w:t>
      </w:r>
      <w:proofErr w:type="spellEnd"/>
      <w:r>
        <w:rPr>
          <w:rFonts w:eastAsiaTheme="minorEastAsia" w:cstheme="minorHAnsi"/>
          <w:lang w:bidi="en-US"/>
        </w:rPr>
        <w:t xml:space="preserve">.  In taking on this role, and in </w:t>
      </w:r>
      <w:r w:rsidR="00582B73">
        <w:rPr>
          <w:rFonts w:eastAsiaTheme="minorEastAsia" w:cstheme="minorHAnsi"/>
          <w:lang w:bidi="en-US"/>
        </w:rPr>
        <w:t xml:space="preserve">advocating for </w:t>
      </w:r>
      <w:r>
        <w:rPr>
          <w:rFonts w:eastAsiaTheme="minorEastAsia" w:cstheme="minorHAnsi"/>
          <w:lang w:bidi="en-US"/>
        </w:rPr>
        <w:t xml:space="preserve">minimum standards amongst the broader network members, it </w:t>
      </w:r>
      <w:proofErr w:type="gramStart"/>
      <w:r>
        <w:rPr>
          <w:rFonts w:eastAsiaTheme="minorEastAsia" w:cstheme="minorHAnsi"/>
          <w:lang w:bidi="en-US"/>
        </w:rPr>
        <w:t>is hoped</w:t>
      </w:r>
      <w:proofErr w:type="gramEnd"/>
      <w:r>
        <w:rPr>
          <w:rFonts w:eastAsiaTheme="minorEastAsia" w:cstheme="minorHAnsi"/>
          <w:lang w:bidi="en-US"/>
        </w:rPr>
        <w:t xml:space="preserve"> that the vision will be achieved.  While mandated accountability of the RC/HC extends only to the UN and its partners, </w:t>
      </w:r>
      <w:r w:rsidR="001977BA">
        <w:rPr>
          <w:rFonts w:eastAsiaTheme="minorEastAsia" w:cstheme="minorHAnsi"/>
          <w:lang w:bidi="en-US"/>
        </w:rPr>
        <w:t xml:space="preserve">the approach of this strategy is to be inclusive of all interested </w:t>
      </w:r>
      <w:proofErr w:type="spellStart"/>
      <w:r w:rsidR="001977BA">
        <w:rPr>
          <w:rFonts w:eastAsiaTheme="minorEastAsia" w:cstheme="minorHAnsi"/>
          <w:lang w:bidi="en-US"/>
        </w:rPr>
        <w:t>organisations</w:t>
      </w:r>
      <w:proofErr w:type="spellEnd"/>
      <w:r w:rsidR="001977BA">
        <w:rPr>
          <w:rFonts w:eastAsiaTheme="minorEastAsia" w:cstheme="minorHAnsi"/>
          <w:lang w:bidi="en-US"/>
        </w:rPr>
        <w:t xml:space="preserve">, thus fostering a community of </w:t>
      </w:r>
      <w:proofErr w:type="gramStart"/>
      <w:r w:rsidR="001977BA">
        <w:rPr>
          <w:rFonts w:eastAsiaTheme="minorEastAsia" w:cstheme="minorHAnsi"/>
          <w:lang w:bidi="en-US"/>
        </w:rPr>
        <w:t>information-sharing</w:t>
      </w:r>
      <w:proofErr w:type="gramEnd"/>
      <w:r w:rsidR="001977BA">
        <w:rPr>
          <w:rFonts w:eastAsiaTheme="minorEastAsia" w:cstheme="minorHAnsi"/>
          <w:lang w:bidi="en-US"/>
        </w:rPr>
        <w:t xml:space="preserve"> and a common understanding of zero tolerance across the board. </w:t>
      </w:r>
    </w:p>
    <w:p w14:paraId="50E5287F" w14:textId="77777777" w:rsidR="001371CF" w:rsidRDefault="001371CF" w:rsidP="003B72DC">
      <w:pPr>
        <w:jc w:val="both"/>
        <w:rPr>
          <w:rFonts w:eastAsiaTheme="minorEastAsia" w:cstheme="minorHAnsi"/>
          <w:b/>
          <w:lang w:bidi="en-US"/>
        </w:rPr>
      </w:pPr>
      <w:r>
        <w:rPr>
          <w:rFonts w:eastAsiaTheme="minorEastAsia" w:cstheme="minorHAnsi"/>
          <w:b/>
          <w:lang w:bidi="en-US"/>
        </w:rPr>
        <w:t>Context</w:t>
      </w:r>
    </w:p>
    <w:p w14:paraId="024F7DFD" w14:textId="799D131A" w:rsidR="00786446" w:rsidRDefault="009164B8" w:rsidP="003B72DC">
      <w:pPr>
        <w:jc w:val="both"/>
        <w:rPr>
          <w:rFonts w:eastAsiaTheme="minorEastAsia" w:cstheme="minorHAnsi"/>
          <w:lang w:bidi="en-US"/>
        </w:rPr>
      </w:pPr>
      <w:r>
        <w:rPr>
          <w:rFonts w:eastAsiaTheme="minorEastAsia" w:cstheme="minorHAnsi"/>
          <w:lang w:bidi="en-US"/>
        </w:rPr>
        <w:t xml:space="preserve">Myanmar is a </w:t>
      </w:r>
      <w:proofErr w:type="gramStart"/>
      <w:r>
        <w:rPr>
          <w:rFonts w:eastAsiaTheme="minorEastAsia" w:cstheme="minorHAnsi"/>
          <w:lang w:bidi="en-US"/>
        </w:rPr>
        <w:t>country which presents complex humanitarian</w:t>
      </w:r>
      <w:proofErr w:type="gramEnd"/>
      <w:r>
        <w:rPr>
          <w:rFonts w:eastAsiaTheme="minorEastAsia" w:cstheme="minorHAnsi"/>
          <w:lang w:bidi="en-US"/>
        </w:rPr>
        <w:t xml:space="preserve"> and development </w:t>
      </w:r>
      <w:r w:rsidR="000D1D72">
        <w:rPr>
          <w:rFonts w:eastAsiaTheme="minorEastAsia" w:cstheme="minorHAnsi"/>
          <w:lang w:bidi="en-US"/>
        </w:rPr>
        <w:t xml:space="preserve">needs.  Emerging from decades of military rule, areas of the country </w:t>
      </w:r>
      <w:proofErr w:type="gramStart"/>
      <w:r w:rsidR="000D1D72">
        <w:rPr>
          <w:rFonts w:eastAsiaTheme="minorEastAsia" w:cstheme="minorHAnsi"/>
          <w:lang w:bidi="en-US"/>
        </w:rPr>
        <w:t>are still beset</w:t>
      </w:r>
      <w:proofErr w:type="gramEnd"/>
      <w:r w:rsidR="000D1D72">
        <w:rPr>
          <w:rFonts w:eastAsiaTheme="minorEastAsia" w:cstheme="minorHAnsi"/>
          <w:lang w:bidi="en-US"/>
        </w:rPr>
        <w:t xml:space="preserve"> with armed conflict.  Coupled with this, Myanmar is one of the countries at highest risk of natural disasters in South East Asia.  </w:t>
      </w:r>
      <w:r w:rsidR="007847B2">
        <w:rPr>
          <w:rFonts w:eastAsiaTheme="minorEastAsia" w:cstheme="minorHAnsi"/>
          <w:lang w:bidi="en-US"/>
        </w:rPr>
        <w:t>Over 244,000</w:t>
      </w:r>
      <w:r w:rsidR="000D1D72">
        <w:rPr>
          <w:rFonts w:eastAsiaTheme="minorEastAsia" w:cstheme="minorHAnsi"/>
          <w:lang w:bidi="en-US"/>
        </w:rPr>
        <w:t xml:space="preserve"> displaced people remain in camps or camp-like situations after fleeing violence in Kachin, </w:t>
      </w:r>
      <w:proofErr w:type="spellStart"/>
      <w:r w:rsidR="000D1D72">
        <w:rPr>
          <w:rFonts w:eastAsiaTheme="minorEastAsia" w:cstheme="minorHAnsi"/>
          <w:lang w:bidi="en-US"/>
        </w:rPr>
        <w:t>Kayin</w:t>
      </w:r>
      <w:proofErr w:type="spellEnd"/>
      <w:r w:rsidR="000D1D72">
        <w:rPr>
          <w:rFonts w:eastAsiaTheme="minorEastAsia" w:cstheme="minorHAnsi"/>
          <w:lang w:bidi="en-US"/>
        </w:rPr>
        <w:t xml:space="preserve">, Shan and </w:t>
      </w:r>
      <w:proofErr w:type="spellStart"/>
      <w:r w:rsidR="000D1D72">
        <w:rPr>
          <w:rFonts w:eastAsiaTheme="minorEastAsia" w:cstheme="minorHAnsi"/>
          <w:lang w:bidi="en-US"/>
        </w:rPr>
        <w:t>Rakhine</w:t>
      </w:r>
      <w:proofErr w:type="spellEnd"/>
      <w:r w:rsidR="000D1D72">
        <w:rPr>
          <w:rFonts w:eastAsiaTheme="minorEastAsia" w:cstheme="minorHAnsi"/>
          <w:lang w:bidi="en-US"/>
        </w:rPr>
        <w:t xml:space="preserve"> states.</w:t>
      </w:r>
      <w:r w:rsidR="007847B2">
        <w:rPr>
          <w:rStyle w:val="FootnoteReference"/>
          <w:rFonts w:eastAsiaTheme="minorEastAsia" w:cstheme="minorHAnsi"/>
          <w:lang w:bidi="en-US"/>
        </w:rPr>
        <w:footnoteReference w:id="4"/>
      </w:r>
      <w:r w:rsidR="000D1D72">
        <w:rPr>
          <w:rFonts w:eastAsiaTheme="minorEastAsia" w:cstheme="minorHAnsi"/>
          <w:lang w:bidi="en-US"/>
        </w:rPr>
        <w:t xml:space="preserve">  </w:t>
      </w:r>
      <w:r w:rsidR="00465298">
        <w:rPr>
          <w:rFonts w:eastAsiaTheme="minorEastAsia" w:cstheme="minorHAnsi"/>
          <w:lang w:bidi="en-US"/>
        </w:rPr>
        <w:t xml:space="preserve">Among displaced people, and </w:t>
      </w:r>
      <w:r w:rsidR="000D1D72">
        <w:rPr>
          <w:rFonts w:eastAsiaTheme="minorEastAsia" w:cstheme="minorHAnsi"/>
          <w:lang w:bidi="en-US"/>
        </w:rPr>
        <w:t xml:space="preserve">non-displaced people, </w:t>
      </w:r>
      <w:r w:rsidR="005F2FFC">
        <w:rPr>
          <w:rFonts w:eastAsiaTheme="minorEastAsia" w:cstheme="minorHAnsi"/>
          <w:lang w:bidi="en-US"/>
        </w:rPr>
        <w:t xml:space="preserve">women and girls, </w:t>
      </w:r>
      <w:r w:rsidR="00EB21BA">
        <w:rPr>
          <w:rFonts w:eastAsiaTheme="minorEastAsia" w:cstheme="minorHAnsi"/>
          <w:lang w:bidi="en-US"/>
        </w:rPr>
        <w:t xml:space="preserve">stateless persons, </w:t>
      </w:r>
      <w:r w:rsidR="000D1D72">
        <w:rPr>
          <w:rFonts w:eastAsiaTheme="minorEastAsia" w:cstheme="minorHAnsi"/>
          <w:lang w:bidi="en-US"/>
        </w:rPr>
        <w:t xml:space="preserve">youth, </w:t>
      </w:r>
      <w:r w:rsidR="00F9241D">
        <w:rPr>
          <w:rFonts w:eastAsiaTheme="minorEastAsia" w:cstheme="minorHAnsi"/>
          <w:lang w:bidi="en-US"/>
        </w:rPr>
        <w:t xml:space="preserve">children without parental care, children living in institutions, </w:t>
      </w:r>
      <w:r w:rsidR="00897DE4">
        <w:rPr>
          <w:rFonts w:eastAsiaTheme="minorEastAsia" w:cstheme="minorHAnsi"/>
          <w:lang w:bidi="en-US"/>
        </w:rPr>
        <w:t>lesbian, gay, bisexual, transgender, intersex and questioning,</w:t>
      </w:r>
      <w:r w:rsidR="00512E0D">
        <w:rPr>
          <w:rFonts w:eastAsiaTheme="minorEastAsia" w:cstheme="minorHAnsi"/>
          <w:lang w:bidi="en-US"/>
        </w:rPr>
        <w:t xml:space="preserve"> </w:t>
      </w:r>
      <w:r w:rsidR="000D1D72">
        <w:rPr>
          <w:rFonts w:eastAsiaTheme="minorEastAsia" w:cstheme="minorHAnsi"/>
          <w:lang w:bidi="en-US"/>
        </w:rPr>
        <w:t>older persons and people living with disability who continue to require speci</w:t>
      </w:r>
      <w:r w:rsidR="00BF66A8">
        <w:rPr>
          <w:rFonts w:eastAsiaTheme="minorEastAsia" w:cstheme="minorHAnsi"/>
          <w:lang w:bidi="en-US"/>
        </w:rPr>
        <w:t>fic attention and</w:t>
      </w:r>
      <w:r w:rsidR="000D1D72">
        <w:rPr>
          <w:rFonts w:eastAsiaTheme="minorEastAsia" w:cstheme="minorHAnsi"/>
          <w:lang w:bidi="en-US"/>
        </w:rPr>
        <w:t xml:space="preserve"> support</w:t>
      </w:r>
      <w:r w:rsidR="00465298">
        <w:rPr>
          <w:rFonts w:eastAsiaTheme="minorEastAsia" w:cstheme="minorHAnsi"/>
          <w:lang w:bidi="en-US"/>
        </w:rPr>
        <w:t xml:space="preserve"> are particularly vulnerable and require targeted considerations</w:t>
      </w:r>
      <w:r w:rsidR="000D1D72">
        <w:rPr>
          <w:rFonts w:eastAsiaTheme="minorEastAsia" w:cstheme="minorHAnsi"/>
          <w:lang w:bidi="en-US"/>
        </w:rPr>
        <w:t xml:space="preserve">.  </w:t>
      </w:r>
    </w:p>
    <w:p w14:paraId="3EA101F7" w14:textId="77777777" w:rsidR="001371CF" w:rsidRDefault="000D7A7F" w:rsidP="003B72DC">
      <w:pPr>
        <w:jc w:val="both"/>
        <w:rPr>
          <w:rFonts w:eastAsiaTheme="minorEastAsia" w:cstheme="minorHAnsi"/>
          <w:lang w:bidi="en-US"/>
        </w:rPr>
      </w:pPr>
      <w:r>
        <w:rPr>
          <w:rFonts w:eastAsiaTheme="minorEastAsia" w:cstheme="minorHAnsi"/>
          <w:lang w:bidi="en-US"/>
        </w:rPr>
        <w:t xml:space="preserve">In </w:t>
      </w:r>
      <w:r w:rsidR="000D1D72">
        <w:rPr>
          <w:rFonts w:eastAsiaTheme="minorEastAsia" w:cstheme="minorHAnsi"/>
          <w:lang w:bidi="en-US"/>
        </w:rPr>
        <w:t xml:space="preserve">this context </w:t>
      </w:r>
      <w:r>
        <w:rPr>
          <w:rFonts w:eastAsiaTheme="minorEastAsia" w:cstheme="minorHAnsi"/>
          <w:lang w:bidi="en-US"/>
        </w:rPr>
        <w:t xml:space="preserve">characterized by violence, ongoing displacement, restricted access, dismantled family and societal structures and </w:t>
      </w:r>
      <w:r w:rsidR="00BF66A8">
        <w:rPr>
          <w:rFonts w:eastAsiaTheme="minorEastAsia" w:cstheme="minorHAnsi"/>
          <w:lang w:bidi="en-US"/>
        </w:rPr>
        <w:t xml:space="preserve">weak rule of law, </w:t>
      </w:r>
      <w:r>
        <w:rPr>
          <w:rFonts w:eastAsiaTheme="minorEastAsia" w:cstheme="minorHAnsi"/>
          <w:lang w:bidi="en-US"/>
        </w:rPr>
        <w:t xml:space="preserve">the risk of SEA is high.  </w:t>
      </w:r>
      <w:r w:rsidR="000D1D72">
        <w:rPr>
          <w:rFonts w:eastAsiaTheme="minorEastAsia" w:cstheme="minorHAnsi"/>
          <w:lang w:bidi="en-US"/>
        </w:rPr>
        <w:t>The continued need for staff on the ground to provide services to affected communities</w:t>
      </w:r>
      <w:r w:rsidR="00BF66A8">
        <w:rPr>
          <w:rFonts w:eastAsiaTheme="minorEastAsia" w:cstheme="minorHAnsi"/>
          <w:lang w:bidi="en-US"/>
        </w:rPr>
        <w:t>, particularly in remote locations,</w:t>
      </w:r>
      <w:r w:rsidR="000D1D72">
        <w:rPr>
          <w:rFonts w:eastAsiaTheme="minorEastAsia" w:cstheme="minorHAnsi"/>
          <w:lang w:bidi="en-US"/>
        </w:rPr>
        <w:t xml:space="preserve"> </w:t>
      </w:r>
      <w:r w:rsidR="00BF66A8">
        <w:rPr>
          <w:rFonts w:eastAsiaTheme="minorEastAsia" w:cstheme="minorHAnsi"/>
          <w:lang w:bidi="en-US"/>
        </w:rPr>
        <w:t>increases</w:t>
      </w:r>
      <w:r w:rsidR="000D1D72">
        <w:rPr>
          <w:rFonts w:eastAsiaTheme="minorEastAsia" w:cstheme="minorHAnsi"/>
          <w:lang w:bidi="en-US"/>
        </w:rPr>
        <w:t xml:space="preserve"> the risk of SEA.  </w:t>
      </w:r>
      <w:r>
        <w:rPr>
          <w:rFonts w:eastAsiaTheme="minorEastAsia" w:cstheme="minorHAnsi"/>
          <w:lang w:bidi="en-US"/>
        </w:rPr>
        <w:t xml:space="preserve"> </w:t>
      </w:r>
    </w:p>
    <w:p w14:paraId="41D53D45" w14:textId="3D6BF2EF" w:rsidR="001371CF" w:rsidRPr="009164B8" w:rsidRDefault="004F3CB8" w:rsidP="003B72DC">
      <w:pPr>
        <w:jc w:val="both"/>
        <w:rPr>
          <w:rFonts w:eastAsiaTheme="minorEastAsia" w:cstheme="minorHAnsi"/>
          <w:lang w:bidi="en-US"/>
        </w:rPr>
      </w:pPr>
      <w:r>
        <w:rPr>
          <w:rFonts w:eastAsiaTheme="minorEastAsia" w:cstheme="minorHAnsi"/>
          <w:lang w:bidi="en-US"/>
        </w:rPr>
        <w:t xml:space="preserve">Much work has already been done within NGOs and the UN in terms of prevention, such as the appointment of focal points, training staff and ensuring a code of conduct is signed by all staff, and </w:t>
      </w:r>
      <w:proofErr w:type="gramStart"/>
      <w:r w:rsidR="003A5B01">
        <w:rPr>
          <w:rFonts w:eastAsiaTheme="minorEastAsia" w:cstheme="minorHAnsi"/>
          <w:lang w:bidi="en-US"/>
        </w:rPr>
        <w:t>awareness-raising</w:t>
      </w:r>
      <w:proofErr w:type="gramEnd"/>
      <w:r w:rsidR="003A5B01">
        <w:rPr>
          <w:rFonts w:eastAsiaTheme="minorEastAsia" w:cstheme="minorHAnsi"/>
          <w:lang w:bidi="en-US"/>
        </w:rPr>
        <w:t xml:space="preserve"> among communities</w:t>
      </w:r>
      <w:r>
        <w:rPr>
          <w:rFonts w:eastAsiaTheme="minorEastAsia" w:cstheme="minorHAnsi"/>
          <w:lang w:bidi="en-US"/>
        </w:rPr>
        <w:t xml:space="preserve">.  </w:t>
      </w:r>
      <w:proofErr w:type="gramStart"/>
      <w:r w:rsidR="00582B73">
        <w:rPr>
          <w:rFonts w:eastAsiaTheme="minorEastAsia" w:cstheme="minorHAnsi"/>
          <w:lang w:bidi="en-US"/>
        </w:rPr>
        <w:t xml:space="preserve">Many </w:t>
      </w:r>
      <w:r>
        <w:rPr>
          <w:rFonts w:eastAsiaTheme="minorEastAsia" w:cstheme="minorHAnsi"/>
          <w:lang w:bidi="en-US"/>
        </w:rPr>
        <w:t xml:space="preserve">of these efforts have been carried out by </w:t>
      </w:r>
      <w:r w:rsidR="00D33432">
        <w:rPr>
          <w:rFonts w:eastAsiaTheme="minorEastAsia" w:cstheme="minorHAnsi"/>
          <w:lang w:bidi="en-US"/>
        </w:rPr>
        <w:t>PSEA Network</w:t>
      </w:r>
      <w:r w:rsidR="00582B73">
        <w:rPr>
          <w:rFonts w:eastAsiaTheme="minorEastAsia" w:cstheme="minorHAnsi"/>
          <w:lang w:bidi="en-US"/>
        </w:rPr>
        <w:t xml:space="preserve"> members</w:t>
      </w:r>
      <w:r w:rsidR="00DF286D">
        <w:rPr>
          <w:rFonts w:eastAsiaTheme="minorEastAsia" w:cstheme="minorHAnsi"/>
          <w:lang w:bidi="en-US"/>
        </w:rPr>
        <w:t>,</w:t>
      </w:r>
      <w:r w:rsidR="00D33432">
        <w:rPr>
          <w:rFonts w:eastAsiaTheme="minorEastAsia" w:cstheme="minorHAnsi"/>
          <w:lang w:bidi="en-US"/>
        </w:rPr>
        <w:t xml:space="preserve"> includ</w:t>
      </w:r>
      <w:r w:rsidR="00582B73">
        <w:rPr>
          <w:rFonts w:eastAsiaTheme="minorEastAsia" w:cstheme="minorHAnsi"/>
          <w:lang w:bidi="en-US"/>
        </w:rPr>
        <w:t>ing</w:t>
      </w:r>
      <w:r w:rsidR="00D33432">
        <w:rPr>
          <w:rFonts w:eastAsiaTheme="minorEastAsia" w:cstheme="minorHAnsi"/>
          <w:lang w:bidi="en-US"/>
        </w:rPr>
        <w:t xml:space="preserve"> UN agencies and non-governmental </w:t>
      </w:r>
      <w:proofErr w:type="spellStart"/>
      <w:r w:rsidR="00D33432">
        <w:rPr>
          <w:rFonts w:eastAsiaTheme="minorEastAsia" w:cstheme="minorHAnsi"/>
          <w:lang w:bidi="en-US"/>
        </w:rPr>
        <w:t>organisations</w:t>
      </w:r>
      <w:proofErr w:type="spellEnd"/>
      <w:r w:rsidR="00D33432">
        <w:rPr>
          <w:rFonts w:eastAsiaTheme="minorEastAsia" w:cstheme="minorHAnsi"/>
          <w:lang w:bidi="en-US"/>
        </w:rPr>
        <w:t xml:space="preserve"> involved in humanitarian, development and peacebuilding efforts in Myanmar</w:t>
      </w:r>
      <w:proofErr w:type="gramEnd"/>
      <w:r>
        <w:rPr>
          <w:rFonts w:eastAsiaTheme="minorEastAsia" w:cstheme="minorHAnsi"/>
          <w:lang w:bidi="en-US"/>
        </w:rPr>
        <w:t>.  H</w:t>
      </w:r>
      <w:r w:rsidR="004C2592">
        <w:rPr>
          <w:rFonts w:eastAsiaTheme="minorEastAsia" w:cstheme="minorHAnsi"/>
          <w:lang w:bidi="en-US"/>
        </w:rPr>
        <w:t xml:space="preserve">owever, more work is necessary to </w:t>
      </w:r>
      <w:r w:rsidR="00C16E0B">
        <w:rPr>
          <w:rFonts w:eastAsiaTheme="minorEastAsia" w:cstheme="minorHAnsi"/>
          <w:lang w:bidi="en-US"/>
        </w:rPr>
        <w:t xml:space="preserve">achieve a robust and sustainable system to prevent SEA, receive complaints of SEA and respond to SEA incidents in line with global standards. </w:t>
      </w:r>
      <w:r w:rsidR="003A5B01">
        <w:rPr>
          <w:rFonts w:eastAsiaTheme="minorEastAsia" w:cstheme="minorHAnsi"/>
          <w:lang w:bidi="en-US"/>
        </w:rPr>
        <w:t xml:space="preserve">  </w:t>
      </w:r>
    </w:p>
    <w:p w14:paraId="2C9C570F" w14:textId="77777777" w:rsidR="003B7225" w:rsidRDefault="009164B8" w:rsidP="003B72DC">
      <w:pPr>
        <w:jc w:val="both"/>
        <w:rPr>
          <w:rFonts w:eastAsiaTheme="minorEastAsia" w:cstheme="minorHAnsi"/>
          <w:b/>
          <w:lang w:bidi="en-US"/>
        </w:rPr>
      </w:pPr>
      <w:r>
        <w:rPr>
          <w:rFonts w:eastAsiaTheme="minorEastAsia" w:cstheme="minorHAnsi"/>
          <w:b/>
          <w:lang w:bidi="en-US"/>
        </w:rPr>
        <w:t>Overall approach</w:t>
      </w:r>
    </w:p>
    <w:p w14:paraId="04C4AFDF" w14:textId="71538334" w:rsidR="009164B8" w:rsidRDefault="00C16E0B" w:rsidP="003B72DC">
      <w:pPr>
        <w:jc w:val="both"/>
        <w:rPr>
          <w:rFonts w:eastAsiaTheme="minorEastAsia" w:cstheme="minorHAnsi"/>
          <w:lang w:bidi="en-US"/>
        </w:rPr>
      </w:pPr>
      <w:r>
        <w:rPr>
          <w:rFonts w:eastAsiaTheme="minorEastAsia" w:cstheme="minorHAnsi"/>
          <w:lang w:bidi="en-US"/>
        </w:rPr>
        <w:t xml:space="preserve">This two-year strategy </w:t>
      </w:r>
      <w:r w:rsidR="00086007">
        <w:rPr>
          <w:rFonts w:eastAsiaTheme="minorEastAsia" w:cstheme="minorHAnsi"/>
          <w:lang w:bidi="en-US"/>
        </w:rPr>
        <w:t>seeks to promote a coherent, harmonized and coordinated approach to prevention of and response to allegations of SEA</w:t>
      </w:r>
      <w:r w:rsidR="00897DE4">
        <w:rPr>
          <w:rFonts w:eastAsiaTheme="minorEastAsia" w:cstheme="minorHAnsi"/>
          <w:lang w:bidi="en-US"/>
        </w:rPr>
        <w:t xml:space="preserve"> in line with international best practice and standards</w:t>
      </w:r>
      <w:r w:rsidR="00086007">
        <w:rPr>
          <w:rFonts w:eastAsiaTheme="minorEastAsia" w:cstheme="minorHAnsi"/>
          <w:lang w:bidi="en-US"/>
        </w:rPr>
        <w:t xml:space="preserve">.  By carrying out activities according to an agreed </w:t>
      </w:r>
      <w:r w:rsidR="001C4275">
        <w:rPr>
          <w:rFonts w:eastAsiaTheme="minorEastAsia" w:cstheme="minorHAnsi"/>
          <w:lang w:bidi="en-US"/>
        </w:rPr>
        <w:t xml:space="preserve">action </w:t>
      </w:r>
      <w:r w:rsidR="00086007">
        <w:rPr>
          <w:rFonts w:eastAsiaTheme="minorEastAsia" w:cstheme="minorHAnsi"/>
          <w:lang w:bidi="en-US"/>
        </w:rPr>
        <w:t>plan, the PSEA Network</w:t>
      </w:r>
      <w:r w:rsidR="00512E0D">
        <w:rPr>
          <w:rFonts w:eastAsiaTheme="minorEastAsia" w:cstheme="minorHAnsi"/>
          <w:lang w:bidi="en-US"/>
        </w:rPr>
        <w:t xml:space="preserve"> </w:t>
      </w:r>
      <w:r w:rsidR="00086007">
        <w:rPr>
          <w:rFonts w:eastAsiaTheme="minorEastAsia" w:cstheme="minorHAnsi"/>
          <w:lang w:bidi="en-US"/>
        </w:rPr>
        <w:t xml:space="preserve">aims to achieve this goal and the overall vision </w:t>
      </w:r>
      <w:r w:rsidR="00AF1304">
        <w:rPr>
          <w:rFonts w:eastAsiaTheme="minorEastAsia" w:cstheme="minorHAnsi"/>
          <w:lang w:bidi="en-US"/>
        </w:rPr>
        <w:t xml:space="preserve">under the following </w:t>
      </w:r>
      <w:r w:rsidR="005178AC">
        <w:rPr>
          <w:rFonts w:eastAsiaTheme="minorEastAsia" w:cstheme="minorHAnsi"/>
          <w:lang w:bidi="en-US"/>
        </w:rPr>
        <w:t>four</w:t>
      </w:r>
      <w:r w:rsidR="00E76FAE">
        <w:rPr>
          <w:rFonts w:eastAsiaTheme="minorEastAsia" w:cstheme="minorHAnsi"/>
          <w:lang w:bidi="en-US"/>
        </w:rPr>
        <w:t xml:space="preserve"> </w:t>
      </w:r>
      <w:r w:rsidR="00AF1304">
        <w:rPr>
          <w:rFonts w:eastAsiaTheme="minorEastAsia" w:cstheme="minorHAnsi"/>
          <w:lang w:bidi="en-US"/>
        </w:rPr>
        <w:t>pillars</w:t>
      </w:r>
      <w:r w:rsidR="00086007">
        <w:rPr>
          <w:rFonts w:eastAsiaTheme="minorEastAsia" w:cstheme="minorHAnsi"/>
          <w:lang w:bidi="en-US"/>
        </w:rPr>
        <w:t>:</w:t>
      </w:r>
      <w:r w:rsidR="005178AC">
        <w:rPr>
          <w:rStyle w:val="FootnoteReference"/>
          <w:rFonts w:eastAsiaTheme="minorEastAsia" w:cstheme="minorHAnsi"/>
          <w:lang w:bidi="en-US"/>
        </w:rPr>
        <w:footnoteReference w:id="5"/>
      </w:r>
      <w:r w:rsidR="00086007">
        <w:rPr>
          <w:rFonts w:eastAsiaTheme="minorEastAsia" w:cstheme="minorHAnsi"/>
          <w:lang w:bidi="en-US"/>
        </w:rPr>
        <w:t xml:space="preserve"> </w:t>
      </w:r>
    </w:p>
    <w:p w14:paraId="089BB430" w14:textId="77777777" w:rsidR="00AF1304" w:rsidRDefault="005178AC" w:rsidP="00AF1304">
      <w:pPr>
        <w:pStyle w:val="ListParagraph"/>
        <w:numPr>
          <w:ilvl w:val="0"/>
          <w:numId w:val="1"/>
        </w:numPr>
        <w:jc w:val="both"/>
        <w:rPr>
          <w:rFonts w:eastAsiaTheme="minorEastAsia" w:cstheme="minorHAnsi"/>
          <w:lang w:bidi="en-US"/>
        </w:rPr>
      </w:pPr>
      <w:r>
        <w:rPr>
          <w:rFonts w:eastAsiaTheme="minorEastAsia" w:cstheme="minorHAnsi"/>
          <w:lang w:bidi="en-US"/>
        </w:rPr>
        <w:t>Engagement with and support of local populations</w:t>
      </w:r>
    </w:p>
    <w:p w14:paraId="585C556D" w14:textId="77777777" w:rsidR="005178AC" w:rsidRDefault="005178AC" w:rsidP="00AF1304">
      <w:pPr>
        <w:pStyle w:val="ListParagraph"/>
        <w:numPr>
          <w:ilvl w:val="0"/>
          <w:numId w:val="1"/>
        </w:numPr>
        <w:jc w:val="both"/>
        <w:rPr>
          <w:rFonts w:eastAsiaTheme="minorEastAsia" w:cstheme="minorHAnsi"/>
          <w:lang w:bidi="en-US"/>
        </w:rPr>
      </w:pPr>
      <w:r>
        <w:rPr>
          <w:rFonts w:eastAsiaTheme="minorEastAsia" w:cstheme="minorHAnsi"/>
          <w:lang w:bidi="en-US"/>
        </w:rPr>
        <w:t>Prevention of SEA</w:t>
      </w:r>
    </w:p>
    <w:p w14:paraId="69461514" w14:textId="77777777" w:rsidR="005178AC" w:rsidRDefault="005178AC" w:rsidP="00AF1304">
      <w:pPr>
        <w:pStyle w:val="ListParagraph"/>
        <w:numPr>
          <w:ilvl w:val="0"/>
          <w:numId w:val="1"/>
        </w:numPr>
        <w:jc w:val="both"/>
        <w:rPr>
          <w:rFonts w:eastAsiaTheme="minorEastAsia" w:cstheme="minorHAnsi"/>
          <w:lang w:bidi="en-US"/>
        </w:rPr>
      </w:pPr>
      <w:r>
        <w:rPr>
          <w:rFonts w:eastAsiaTheme="minorEastAsia" w:cstheme="minorHAnsi"/>
          <w:lang w:bidi="en-US"/>
        </w:rPr>
        <w:t>Response systems</w:t>
      </w:r>
    </w:p>
    <w:p w14:paraId="40A3A257" w14:textId="77777777" w:rsidR="005178AC" w:rsidRDefault="005178AC" w:rsidP="00AF1304">
      <w:pPr>
        <w:pStyle w:val="ListParagraph"/>
        <w:numPr>
          <w:ilvl w:val="0"/>
          <w:numId w:val="1"/>
        </w:numPr>
        <w:jc w:val="both"/>
        <w:rPr>
          <w:rFonts w:eastAsiaTheme="minorEastAsia" w:cstheme="minorHAnsi"/>
          <w:lang w:bidi="en-US"/>
        </w:rPr>
      </w:pPr>
      <w:r>
        <w:rPr>
          <w:rFonts w:eastAsiaTheme="minorEastAsia" w:cstheme="minorHAnsi"/>
          <w:lang w:bidi="en-US"/>
        </w:rPr>
        <w:t>Management and coordination</w:t>
      </w:r>
    </w:p>
    <w:p w14:paraId="6097CA08" w14:textId="42AEE4E5" w:rsidR="00D60818" w:rsidRDefault="006A5CC2" w:rsidP="00D60818">
      <w:pPr>
        <w:jc w:val="both"/>
        <w:rPr>
          <w:rFonts w:eastAsiaTheme="minorEastAsia" w:cstheme="minorHAnsi"/>
          <w:lang w:bidi="en-US"/>
        </w:rPr>
      </w:pPr>
      <w:r>
        <w:rPr>
          <w:rFonts w:eastAsiaTheme="minorEastAsia" w:cstheme="minorHAnsi"/>
          <w:lang w:bidi="en-US"/>
        </w:rPr>
        <w:t xml:space="preserve">The </w:t>
      </w:r>
      <w:r w:rsidR="005178AC">
        <w:rPr>
          <w:rFonts w:eastAsiaTheme="minorEastAsia" w:cstheme="minorHAnsi"/>
          <w:lang w:bidi="en-US"/>
        </w:rPr>
        <w:t>four</w:t>
      </w:r>
      <w:r>
        <w:rPr>
          <w:rFonts w:eastAsiaTheme="minorEastAsia" w:cstheme="minorHAnsi"/>
          <w:lang w:bidi="en-US"/>
        </w:rPr>
        <w:t xml:space="preserve"> pillars </w:t>
      </w:r>
      <w:proofErr w:type="gramStart"/>
      <w:r>
        <w:rPr>
          <w:rFonts w:eastAsiaTheme="minorEastAsia" w:cstheme="minorHAnsi"/>
          <w:lang w:bidi="en-US"/>
        </w:rPr>
        <w:t xml:space="preserve">are </w:t>
      </w:r>
      <w:r w:rsidR="00897DE4">
        <w:rPr>
          <w:rFonts w:eastAsiaTheme="minorEastAsia" w:cstheme="minorHAnsi"/>
          <w:lang w:bidi="en-US"/>
        </w:rPr>
        <w:t>illustrated</w:t>
      </w:r>
      <w:proofErr w:type="gramEnd"/>
      <w:r w:rsidR="00897DE4">
        <w:rPr>
          <w:rFonts w:eastAsiaTheme="minorEastAsia" w:cstheme="minorHAnsi"/>
          <w:lang w:bidi="en-US"/>
        </w:rPr>
        <w:t xml:space="preserve"> below</w:t>
      </w:r>
      <w:r w:rsidR="00FA27F2">
        <w:rPr>
          <w:rFonts w:eastAsiaTheme="minorEastAsia" w:cstheme="minorHAnsi"/>
          <w:lang w:bidi="en-US"/>
        </w:rPr>
        <w:t xml:space="preserve"> with examples of key activities</w:t>
      </w:r>
      <w:r>
        <w:rPr>
          <w:rFonts w:eastAsiaTheme="minorEastAsia" w:cstheme="minorHAnsi"/>
          <w:lang w:bidi="en-US"/>
        </w:rPr>
        <w:t xml:space="preserve">.  </w:t>
      </w:r>
    </w:p>
    <w:p w14:paraId="3A2E7A5C" w14:textId="77777777" w:rsidR="0026295D" w:rsidRPr="00D60818" w:rsidRDefault="00FA27F2" w:rsidP="00AF1304">
      <w:pPr>
        <w:jc w:val="both"/>
        <w:rPr>
          <w:rFonts w:eastAsiaTheme="minorEastAsia" w:cstheme="minorHAnsi"/>
          <w:lang w:bidi="en-US"/>
        </w:rPr>
      </w:pPr>
      <w:r>
        <w:rPr>
          <w:rFonts w:eastAsiaTheme="minorEastAsia" w:cstheme="minorHAnsi"/>
          <w:noProof/>
        </w:rPr>
        <w:lastRenderedPageBreak/>
        <w:drawing>
          <wp:inline distT="0" distB="0" distL="0" distR="0" wp14:anchorId="0C8C268C" wp14:editId="117F9C91">
            <wp:extent cx="5902036" cy="1615044"/>
            <wp:effectExtent l="38100" t="0" r="41910" b="444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4A3226E" w14:textId="3DCA1B8B" w:rsidR="00830CA5" w:rsidRDefault="00DF5AF3" w:rsidP="00AF1304">
      <w:pPr>
        <w:jc w:val="both"/>
        <w:rPr>
          <w:rFonts w:eastAsiaTheme="minorEastAsia" w:cstheme="minorHAnsi"/>
          <w:lang w:bidi="en-US"/>
        </w:rPr>
      </w:pPr>
      <w:r>
        <w:rPr>
          <w:rFonts w:eastAsiaTheme="minorEastAsia" w:cstheme="minorHAnsi"/>
          <w:lang w:bidi="en-US"/>
        </w:rPr>
        <w:t xml:space="preserve">Across the four pillars, the approach will be one of </w:t>
      </w:r>
      <w:r w:rsidRPr="00B5562D">
        <w:rPr>
          <w:rFonts w:eastAsiaTheme="minorEastAsia" w:cstheme="minorHAnsi"/>
          <w:lang w:bidi="en-US"/>
        </w:rPr>
        <w:t>capacity development</w:t>
      </w:r>
      <w:r>
        <w:rPr>
          <w:rFonts w:eastAsiaTheme="minorEastAsia" w:cstheme="minorHAnsi"/>
          <w:lang w:bidi="en-US"/>
        </w:rPr>
        <w:t xml:space="preserve">, where those actors with technical personnel (whether UN or NGO) are able to train and guide other network member </w:t>
      </w:r>
      <w:proofErr w:type="spellStart"/>
      <w:r>
        <w:rPr>
          <w:rFonts w:eastAsiaTheme="minorEastAsia" w:cstheme="minorHAnsi"/>
          <w:lang w:bidi="en-US"/>
        </w:rPr>
        <w:t>organisations</w:t>
      </w:r>
      <w:proofErr w:type="spellEnd"/>
      <w:r>
        <w:rPr>
          <w:rFonts w:eastAsiaTheme="minorEastAsia" w:cstheme="minorHAnsi"/>
          <w:lang w:bidi="en-US"/>
        </w:rPr>
        <w:t xml:space="preserve"> to reach minimum standards.  </w:t>
      </w:r>
      <w:r w:rsidR="009310E4">
        <w:rPr>
          <w:rFonts w:eastAsiaTheme="minorEastAsia" w:cstheme="minorHAnsi"/>
          <w:lang w:bidi="en-US"/>
        </w:rPr>
        <w:t xml:space="preserve">The Network </w:t>
      </w:r>
      <w:proofErr w:type="spellStart"/>
      <w:r w:rsidR="009310E4">
        <w:rPr>
          <w:rFonts w:eastAsiaTheme="minorEastAsia" w:cstheme="minorHAnsi"/>
          <w:lang w:bidi="en-US"/>
        </w:rPr>
        <w:t>recognises</w:t>
      </w:r>
      <w:proofErr w:type="spellEnd"/>
      <w:r w:rsidR="009310E4">
        <w:rPr>
          <w:rFonts w:eastAsiaTheme="minorEastAsia" w:cstheme="minorHAnsi"/>
          <w:lang w:bidi="en-US"/>
        </w:rPr>
        <w:t xml:space="preserve"> the leadership role already taken by some </w:t>
      </w:r>
      <w:r w:rsidR="00B5562D">
        <w:rPr>
          <w:rFonts w:eastAsiaTheme="minorEastAsia" w:cstheme="minorHAnsi"/>
          <w:lang w:bidi="en-US"/>
        </w:rPr>
        <w:t xml:space="preserve">international </w:t>
      </w:r>
      <w:proofErr w:type="spellStart"/>
      <w:r w:rsidR="00B5562D">
        <w:rPr>
          <w:rFonts w:eastAsiaTheme="minorEastAsia" w:cstheme="minorHAnsi"/>
          <w:lang w:bidi="en-US"/>
        </w:rPr>
        <w:t>organisations</w:t>
      </w:r>
      <w:proofErr w:type="spellEnd"/>
      <w:r w:rsidR="00B5562D">
        <w:rPr>
          <w:rFonts w:eastAsiaTheme="minorEastAsia" w:cstheme="minorHAnsi"/>
          <w:lang w:bidi="en-US"/>
        </w:rPr>
        <w:t xml:space="preserve"> </w:t>
      </w:r>
      <w:r w:rsidR="009310E4">
        <w:rPr>
          <w:rFonts w:eastAsiaTheme="minorEastAsia" w:cstheme="minorHAnsi"/>
          <w:lang w:bidi="en-US"/>
        </w:rPr>
        <w:t xml:space="preserve">with respect to capacity-building and embedding PSEA policies among partners. This approach is necessary in order to achieve sustainability and effective implementation.   </w:t>
      </w:r>
      <w:r>
        <w:rPr>
          <w:rFonts w:eastAsiaTheme="minorEastAsia" w:cstheme="minorHAnsi"/>
          <w:lang w:bidi="en-US"/>
        </w:rPr>
        <w:t xml:space="preserve">The role of the national PSEA Network is to </w:t>
      </w:r>
      <w:r w:rsidR="00512E0D">
        <w:rPr>
          <w:rFonts w:eastAsiaTheme="minorEastAsia" w:cstheme="minorHAnsi"/>
          <w:lang w:bidi="en-US"/>
        </w:rPr>
        <w:t xml:space="preserve">support </w:t>
      </w:r>
      <w:r w:rsidR="009310E4">
        <w:rPr>
          <w:rFonts w:eastAsiaTheme="minorEastAsia" w:cstheme="minorHAnsi"/>
          <w:lang w:bidi="en-US"/>
        </w:rPr>
        <w:t xml:space="preserve">this approach </w:t>
      </w:r>
      <w:r w:rsidR="00512E0D">
        <w:rPr>
          <w:rFonts w:eastAsiaTheme="minorEastAsia" w:cstheme="minorHAnsi"/>
          <w:lang w:bidi="en-US"/>
        </w:rPr>
        <w:t>by</w:t>
      </w:r>
      <w:r>
        <w:rPr>
          <w:rFonts w:eastAsiaTheme="minorEastAsia" w:cstheme="minorHAnsi"/>
          <w:lang w:bidi="en-US"/>
        </w:rPr>
        <w:t xml:space="preserve"> shar</w:t>
      </w:r>
      <w:r w:rsidR="00512E0D">
        <w:rPr>
          <w:rFonts w:eastAsiaTheme="minorEastAsia" w:cstheme="minorHAnsi"/>
          <w:lang w:bidi="en-US"/>
        </w:rPr>
        <w:t>ing</w:t>
      </w:r>
      <w:r>
        <w:rPr>
          <w:rFonts w:eastAsiaTheme="minorEastAsia" w:cstheme="minorHAnsi"/>
          <w:lang w:bidi="en-US"/>
        </w:rPr>
        <w:t xml:space="preserve"> </w:t>
      </w:r>
      <w:r w:rsidR="00660EE0">
        <w:rPr>
          <w:rFonts w:eastAsiaTheme="minorEastAsia" w:cstheme="minorHAnsi"/>
          <w:lang w:bidi="en-US"/>
        </w:rPr>
        <w:t>information and materials</w:t>
      </w:r>
      <w:r w:rsidR="00E6003B">
        <w:rPr>
          <w:rFonts w:eastAsiaTheme="minorEastAsia" w:cstheme="minorHAnsi"/>
          <w:lang w:bidi="en-US"/>
        </w:rPr>
        <w:t xml:space="preserve"> including best practices</w:t>
      </w:r>
      <w:r w:rsidR="00660EE0">
        <w:rPr>
          <w:rFonts w:eastAsiaTheme="minorEastAsia" w:cstheme="minorHAnsi"/>
          <w:lang w:bidi="en-US"/>
        </w:rPr>
        <w:t xml:space="preserve">, </w:t>
      </w:r>
      <w:r w:rsidR="0093027E">
        <w:rPr>
          <w:rFonts w:eastAsiaTheme="minorEastAsia" w:cstheme="minorHAnsi"/>
          <w:lang w:bidi="en-US"/>
        </w:rPr>
        <w:t>pool</w:t>
      </w:r>
      <w:r w:rsidR="00512E0D">
        <w:rPr>
          <w:rFonts w:eastAsiaTheme="minorEastAsia" w:cstheme="minorHAnsi"/>
          <w:lang w:bidi="en-US"/>
        </w:rPr>
        <w:t>ing</w:t>
      </w:r>
      <w:r w:rsidR="0093027E">
        <w:rPr>
          <w:rFonts w:eastAsiaTheme="minorEastAsia" w:cstheme="minorHAnsi"/>
          <w:lang w:bidi="en-US"/>
        </w:rPr>
        <w:t xml:space="preserve"> resources </w:t>
      </w:r>
      <w:r w:rsidR="00660EE0">
        <w:rPr>
          <w:rFonts w:eastAsiaTheme="minorEastAsia" w:cstheme="minorHAnsi"/>
          <w:lang w:bidi="en-US"/>
        </w:rPr>
        <w:t>and support</w:t>
      </w:r>
      <w:r w:rsidR="00512E0D">
        <w:rPr>
          <w:rFonts w:eastAsiaTheme="minorEastAsia" w:cstheme="minorHAnsi"/>
          <w:lang w:bidi="en-US"/>
        </w:rPr>
        <w:t>ing</w:t>
      </w:r>
      <w:r w:rsidR="00660EE0">
        <w:rPr>
          <w:rFonts w:eastAsiaTheme="minorEastAsia" w:cstheme="minorHAnsi"/>
          <w:lang w:bidi="en-US"/>
        </w:rPr>
        <w:t xml:space="preserve"> area-based working groups</w:t>
      </w:r>
      <w:r w:rsidR="009310E4">
        <w:rPr>
          <w:rFonts w:eastAsiaTheme="minorEastAsia" w:cstheme="minorHAnsi"/>
          <w:lang w:bidi="en-US"/>
        </w:rPr>
        <w:t>, systematically identifying</w:t>
      </w:r>
      <w:r w:rsidR="00F9241D">
        <w:rPr>
          <w:rFonts w:eastAsiaTheme="minorEastAsia" w:cstheme="minorHAnsi"/>
          <w:lang w:bidi="en-US"/>
        </w:rPr>
        <w:t xml:space="preserve"> and register</w:t>
      </w:r>
      <w:r w:rsidR="009310E4">
        <w:rPr>
          <w:rFonts w:eastAsiaTheme="minorEastAsia" w:cstheme="minorHAnsi"/>
          <w:lang w:bidi="en-US"/>
        </w:rPr>
        <w:t>ing</w:t>
      </w:r>
      <w:r w:rsidR="00F9241D">
        <w:rPr>
          <w:rFonts w:eastAsiaTheme="minorEastAsia" w:cstheme="minorHAnsi"/>
          <w:lang w:bidi="en-US"/>
        </w:rPr>
        <w:t xml:space="preserve"> risk and mitigation strategies,</w:t>
      </w:r>
      <w:r w:rsidR="009310E4">
        <w:rPr>
          <w:rFonts w:eastAsiaTheme="minorEastAsia" w:cstheme="minorHAnsi"/>
          <w:lang w:bidi="en-US"/>
        </w:rPr>
        <w:t xml:space="preserve"> </w:t>
      </w:r>
      <w:r w:rsidR="00B5562D">
        <w:rPr>
          <w:rFonts w:eastAsiaTheme="minorEastAsia" w:cstheme="minorHAnsi"/>
          <w:lang w:bidi="en-US"/>
        </w:rPr>
        <w:t>while streamlining processes as much as possible</w:t>
      </w:r>
      <w:r w:rsidR="00660EE0">
        <w:rPr>
          <w:rFonts w:eastAsiaTheme="minorEastAsia" w:cstheme="minorHAnsi"/>
          <w:lang w:bidi="en-US"/>
        </w:rPr>
        <w:t xml:space="preserve">. </w:t>
      </w:r>
      <w:r w:rsidR="0093027E">
        <w:rPr>
          <w:rFonts w:eastAsiaTheme="minorEastAsia" w:cstheme="minorHAnsi"/>
          <w:lang w:bidi="en-US"/>
        </w:rPr>
        <w:t xml:space="preserve">Therefore, the PSEA Network will lead the development of joint planning and strategies to implement PSEA activities.  </w:t>
      </w:r>
      <w:r w:rsidR="00B5562D">
        <w:rPr>
          <w:rFonts w:eastAsiaTheme="minorEastAsia" w:cstheme="minorHAnsi"/>
          <w:lang w:bidi="en-US"/>
        </w:rPr>
        <w:t>In order to carry out its tasks efficiently, the PSEA Network will tap into existing coordination structures across both humanitarian and development fields and engage with donors and government counterparts as much as possible.</w:t>
      </w:r>
    </w:p>
    <w:p w14:paraId="6C2FA0E4" w14:textId="4CBE1E74" w:rsidR="009164B8" w:rsidRPr="00AF1304" w:rsidRDefault="009164B8" w:rsidP="00AF1304">
      <w:pPr>
        <w:jc w:val="both"/>
        <w:rPr>
          <w:rFonts w:eastAsiaTheme="minorEastAsia" w:cstheme="minorHAnsi"/>
          <w:lang w:bidi="en-US"/>
        </w:rPr>
      </w:pPr>
      <w:r w:rsidRPr="00AF1304">
        <w:rPr>
          <w:rFonts w:eastAsiaTheme="minorEastAsia" w:cstheme="minorHAnsi"/>
          <w:b/>
          <w:lang w:bidi="en-US"/>
        </w:rPr>
        <w:t>Guiding principles</w:t>
      </w:r>
    </w:p>
    <w:p w14:paraId="7A3C2CC2" w14:textId="0000BDF6" w:rsidR="00935A76" w:rsidRDefault="001C7AEC" w:rsidP="003B72DC">
      <w:pPr>
        <w:jc w:val="both"/>
        <w:rPr>
          <w:rFonts w:eastAsiaTheme="minorEastAsia" w:cstheme="minorHAnsi"/>
          <w:lang w:bidi="en-US"/>
        </w:rPr>
      </w:pPr>
      <w:proofErr w:type="gramStart"/>
      <w:r>
        <w:rPr>
          <w:rFonts w:eastAsiaTheme="minorEastAsia" w:cstheme="minorHAnsi"/>
          <w:lang w:bidi="en-US"/>
        </w:rPr>
        <w:t xml:space="preserve">This strategy </w:t>
      </w:r>
      <w:r w:rsidR="00EA0B90">
        <w:rPr>
          <w:rFonts w:eastAsiaTheme="minorEastAsia" w:cstheme="minorHAnsi"/>
          <w:lang w:bidi="en-US"/>
        </w:rPr>
        <w:t xml:space="preserve">is </w:t>
      </w:r>
      <w:r>
        <w:rPr>
          <w:rFonts w:eastAsiaTheme="minorEastAsia" w:cstheme="minorHAnsi"/>
          <w:lang w:bidi="en-US"/>
        </w:rPr>
        <w:t xml:space="preserve">guided at its core by </w:t>
      </w:r>
      <w:r w:rsidR="00CB005F">
        <w:rPr>
          <w:rFonts w:eastAsiaTheme="minorEastAsia" w:cstheme="minorHAnsi"/>
          <w:lang w:bidi="en-US"/>
        </w:rPr>
        <w:t>the principles enshrined in the key PSEA global commitments: the Secretary-General’s Bulletin on Special Measures for Protection from Sexual Exploitation and Sexual Abuse,</w:t>
      </w:r>
      <w:r w:rsidR="00CB005F">
        <w:rPr>
          <w:rStyle w:val="FootnoteReference"/>
          <w:rFonts w:eastAsiaTheme="minorEastAsia" w:cstheme="minorHAnsi"/>
          <w:lang w:bidi="en-US"/>
        </w:rPr>
        <w:footnoteReference w:id="6"/>
      </w:r>
      <w:r w:rsidR="00CB005F">
        <w:rPr>
          <w:rFonts w:eastAsiaTheme="minorEastAsia" w:cstheme="minorHAnsi"/>
          <w:lang w:bidi="en-US"/>
        </w:rPr>
        <w:t xml:space="preserve"> the UN Protocol on Allegations of Sexual Exploitation and Abuse involving Implementing Partners (2018), the IASC Revised Commitments on Accountability to Affected Populations and Protection from Sexual Exploitation and Abuse (2018), </w:t>
      </w:r>
      <w:r w:rsidR="00465298">
        <w:rPr>
          <w:rFonts w:eastAsiaTheme="minorEastAsia" w:cstheme="minorHAnsi"/>
          <w:lang w:bidi="en-US"/>
        </w:rPr>
        <w:t xml:space="preserve">the IASC Policy on Gender Equality and the Empowerment of Women and Girls in Humanitarian Action (2017), </w:t>
      </w:r>
      <w:r w:rsidR="00CB005F">
        <w:rPr>
          <w:rFonts w:eastAsiaTheme="minorEastAsia" w:cstheme="minorHAnsi"/>
          <w:lang w:bidi="en-US"/>
        </w:rPr>
        <w:t>the IASC Principals Statement on PSEA, including Minimum-Operating Standards on PSEA (2015), and the Statement of Commitment on Eliminating Sexual Exploitation and Abuse by UN and Non-UN Personnel (2006).</w:t>
      </w:r>
      <w:proofErr w:type="gramEnd"/>
      <w:r w:rsidR="00CB005F">
        <w:rPr>
          <w:rFonts w:eastAsiaTheme="minorEastAsia" w:cstheme="minorHAnsi"/>
          <w:lang w:bidi="en-US"/>
        </w:rPr>
        <w:t xml:space="preserve"> </w:t>
      </w:r>
      <w:r>
        <w:rPr>
          <w:rFonts w:eastAsiaTheme="minorEastAsia" w:cstheme="minorHAnsi"/>
          <w:lang w:bidi="en-US"/>
        </w:rPr>
        <w:t xml:space="preserve"> </w:t>
      </w:r>
    </w:p>
    <w:p w14:paraId="718DF7E6" w14:textId="1E733001" w:rsidR="009164B8" w:rsidRDefault="00935A76" w:rsidP="003B72DC">
      <w:pPr>
        <w:jc w:val="both"/>
        <w:rPr>
          <w:rFonts w:eastAsiaTheme="minorEastAsia" w:cstheme="minorHAnsi"/>
          <w:lang w:bidi="en-US"/>
        </w:rPr>
      </w:pPr>
      <w:r>
        <w:rPr>
          <w:rFonts w:eastAsiaTheme="minorEastAsia" w:cstheme="minorHAnsi"/>
          <w:lang w:bidi="en-US"/>
        </w:rPr>
        <w:t xml:space="preserve">These principles </w:t>
      </w:r>
      <w:proofErr w:type="gramStart"/>
      <w:r>
        <w:rPr>
          <w:rFonts w:eastAsiaTheme="minorEastAsia" w:cstheme="minorHAnsi"/>
          <w:lang w:bidi="en-US"/>
        </w:rPr>
        <w:t>are indelibly linked</w:t>
      </w:r>
      <w:proofErr w:type="gramEnd"/>
      <w:r>
        <w:rPr>
          <w:rFonts w:eastAsiaTheme="minorEastAsia" w:cstheme="minorHAnsi"/>
          <w:lang w:bidi="en-US"/>
        </w:rPr>
        <w:t xml:space="preserve"> with those that underscore the Accountability to Affected Populations framework, as well as the centrality of protection in humanitarian action and gender equality.  </w:t>
      </w:r>
      <w:r w:rsidR="006466AB">
        <w:rPr>
          <w:rFonts w:eastAsiaTheme="minorEastAsia" w:cstheme="minorHAnsi"/>
          <w:lang w:bidi="en-US"/>
        </w:rPr>
        <w:t>As SEA is a form of gender-based-violence (GBV), the GBV guiding principles that underpin all actions with individuals also apply.  These are: taking a survivor-</w:t>
      </w:r>
      <w:proofErr w:type="spellStart"/>
      <w:r w:rsidR="006466AB">
        <w:rPr>
          <w:rFonts w:eastAsiaTheme="minorEastAsia" w:cstheme="minorHAnsi"/>
          <w:lang w:bidi="en-US"/>
        </w:rPr>
        <w:t>centred</w:t>
      </w:r>
      <w:proofErr w:type="spellEnd"/>
      <w:r w:rsidR="006466AB">
        <w:rPr>
          <w:rFonts w:eastAsiaTheme="minorEastAsia" w:cstheme="minorHAnsi"/>
          <w:lang w:bidi="en-US"/>
        </w:rPr>
        <w:t xml:space="preserve"> approach; ensuring the physical safety of th</w:t>
      </w:r>
      <w:r w:rsidR="008156F6">
        <w:rPr>
          <w:rFonts w:eastAsiaTheme="minorEastAsia" w:cstheme="minorHAnsi"/>
          <w:lang w:bidi="en-US"/>
        </w:rPr>
        <w:t>e victim</w:t>
      </w:r>
      <w:r w:rsidR="006466AB">
        <w:rPr>
          <w:rFonts w:eastAsiaTheme="minorEastAsia" w:cstheme="minorHAnsi"/>
          <w:lang w:bidi="en-US"/>
        </w:rPr>
        <w:t xml:space="preserve">; </w:t>
      </w:r>
      <w:r w:rsidR="00465298">
        <w:rPr>
          <w:rFonts w:eastAsiaTheme="minorEastAsia" w:cstheme="minorHAnsi"/>
          <w:lang w:bidi="en-US"/>
        </w:rPr>
        <w:t xml:space="preserve">establishing information and feedback mechanisms which are gender-sensitive; </w:t>
      </w:r>
      <w:r w:rsidR="006466AB">
        <w:rPr>
          <w:rFonts w:eastAsiaTheme="minorEastAsia" w:cstheme="minorHAnsi"/>
          <w:lang w:bidi="en-US"/>
        </w:rPr>
        <w:t>respecting confidentiality (within the boundaries of mandatory reporting); respecting the wishes, rights and dign</w:t>
      </w:r>
      <w:r w:rsidR="008156F6">
        <w:rPr>
          <w:rFonts w:eastAsiaTheme="minorEastAsia" w:cstheme="minorHAnsi"/>
          <w:lang w:bidi="en-US"/>
        </w:rPr>
        <w:t>ity of the victim</w:t>
      </w:r>
      <w:r w:rsidR="006466AB">
        <w:rPr>
          <w:rFonts w:eastAsiaTheme="minorEastAsia" w:cstheme="minorHAnsi"/>
          <w:lang w:bidi="en-US"/>
        </w:rPr>
        <w:t xml:space="preserve">, and </w:t>
      </w:r>
      <w:r w:rsidR="008156F6">
        <w:rPr>
          <w:rFonts w:eastAsiaTheme="minorEastAsia" w:cstheme="minorHAnsi"/>
          <w:lang w:bidi="en-US"/>
        </w:rPr>
        <w:t>non-discrimination.</w:t>
      </w:r>
      <w:r w:rsidR="008156F6">
        <w:rPr>
          <w:rStyle w:val="FootnoteReference"/>
          <w:rFonts w:eastAsiaTheme="minorEastAsia" w:cstheme="minorHAnsi"/>
          <w:lang w:bidi="en-US"/>
        </w:rPr>
        <w:footnoteReference w:id="7"/>
      </w:r>
      <w:r w:rsidR="008156F6">
        <w:rPr>
          <w:rFonts w:eastAsiaTheme="minorEastAsia" w:cstheme="minorHAnsi"/>
          <w:lang w:bidi="en-US"/>
        </w:rPr>
        <w:t xml:space="preserve">  The </w:t>
      </w:r>
      <w:r w:rsidR="006466AB">
        <w:rPr>
          <w:rFonts w:eastAsiaTheme="minorEastAsia" w:cstheme="minorHAnsi"/>
          <w:lang w:bidi="en-US"/>
        </w:rPr>
        <w:t>best interest</w:t>
      </w:r>
      <w:r w:rsidR="00582B73">
        <w:rPr>
          <w:rFonts w:eastAsiaTheme="minorEastAsia" w:cstheme="minorHAnsi"/>
          <w:lang w:bidi="en-US"/>
        </w:rPr>
        <w:t>s</w:t>
      </w:r>
      <w:r w:rsidR="006466AB">
        <w:rPr>
          <w:rFonts w:eastAsiaTheme="minorEastAsia" w:cstheme="minorHAnsi"/>
          <w:lang w:bidi="en-US"/>
        </w:rPr>
        <w:t xml:space="preserve"> of the child</w:t>
      </w:r>
      <w:r w:rsidR="008156F6">
        <w:rPr>
          <w:rFonts w:eastAsiaTheme="minorEastAsia" w:cstheme="minorHAnsi"/>
          <w:lang w:bidi="en-US"/>
        </w:rPr>
        <w:t xml:space="preserve"> </w:t>
      </w:r>
      <w:proofErr w:type="gramStart"/>
      <w:r w:rsidR="008156F6">
        <w:rPr>
          <w:rFonts w:eastAsiaTheme="minorEastAsia" w:cstheme="minorHAnsi"/>
          <w:lang w:bidi="en-US"/>
        </w:rPr>
        <w:t>will be considered</w:t>
      </w:r>
      <w:proofErr w:type="gramEnd"/>
      <w:r w:rsidR="008156F6">
        <w:rPr>
          <w:rFonts w:eastAsiaTheme="minorEastAsia" w:cstheme="minorHAnsi"/>
          <w:lang w:bidi="en-US"/>
        </w:rPr>
        <w:t xml:space="preserve"> when the victim is a child</w:t>
      </w:r>
      <w:r w:rsidR="006466AB">
        <w:rPr>
          <w:rFonts w:eastAsiaTheme="minorEastAsia" w:cstheme="minorHAnsi"/>
          <w:lang w:bidi="en-US"/>
        </w:rPr>
        <w:t xml:space="preserve">.  </w:t>
      </w:r>
    </w:p>
    <w:p w14:paraId="6E6C2245" w14:textId="77777777" w:rsidR="006418C4" w:rsidRDefault="006418C4" w:rsidP="003B72DC">
      <w:pPr>
        <w:jc w:val="both"/>
        <w:rPr>
          <w:rFonts w:eastAsiaTheme="minorEastAsia" w:cstheme="minorHAnsi"/>
          <w:b/>
          <w:lang w:bidi="en-US"/>
        </w:rPr>
      </w:pPr>
      <w:r>
        <w:rPr>
          <w:rFonts w:eastAsiaTheme="minorEastAsia" w:cstheme="minorHAnsi"/>
          <w:b/>
          <w:lang w:bidi="en-US"/>
        </w:rPr>
        <w:t>Sustainability</w:t>
      </w:r>
    </w:p>
    <w:p w14:paraId="4E7F8131" w14:textId="5318F150" w:rsidR="003B72DC" w:rsidRDefault="000A36C2" w:rsidP="00380167">
      <w:pPr>
        <w:jc w:val="both"/>
        <w:rPr>
          <w:rFonts w:cstheme="minorHAnsi"/>
          <w:b/>
        </w:rPr>
      </w:pPr>
      <w:r>
        <w:rPr>
          <w:rFonts w:eastAsiaTheme="minorEastAsia" w:cstheme="minorHAnsi"/>
          <w:lang w:bidi="en-US"/>
        </w:rPr>
        <w:t xml:space="preserve">A robust inter-agency mechanism should be sustainable with the buy-in of all involved.  In order to mitigate against declining interest due to staff turnover, regular refresher training and leadership by the RC/HC and HCT is essential.  </w:t>
      </w:r>
      <w:proofErr w:type="gramStart"/>
      <w:r w:rsidR="001C4275">
        <w:rPr>
          <w:rFonts w:eastAsiaTheme="minorEastAsia" w:cstheme="minorHAnsi"/>
          <w:lang w:bidi="en-US"/>
        </w:rPr>
        <w:t xml:space="preserve">The leadership will take the form of 1) proactively addressing PSEA </w:t>
      </w:r>
      <w:r w:rsidR="001C4275">
        <w:rPr>
          <w:rFonts w:eastAsiaTheme="minorEastAsia" w:cstheme="minorHAnsi"/>
          <w:lang w:bidi="en-US"/>
        </w:rPr>
        <w:lastRenderedPageBreak/>
        <w:t>implementation challenges as needed within the HCT/UNCT, 2) maintaining consistent handover practices to mitigate loss of PSEA knowledge due to personnel change, and 3) mainstreaming SEA risk education practices across organizations and sectors to ensure PSEA is embedded in the UN and NGO activities in Myanmar and not a stand-alone agenda.</w:t>
      </w:r>
      <w:proofErr w:type="gramEnd"/>
      <w:r w:rsidR="001C4275">
        <w:rPr>
          <w:rFonts w:eastAsiaTheme="minorEastAsia" w:cstheme="minorHAnsi"/>
          <w:lang w:bidi="en-US"/>
        </w:rPr>
        <w:t xml:space="preserve">  </w:t>
      </w:r>
      <w:r w:rsidR="001D224C">
        <w:rPr>
          <w:rFonts w:eastAsiaTheme="minorEastAsia" w:cstheme="minorHAnsi"/>
          <w:lang w:bidi="en-US"/>
        </w:rPr>
        <w:t>A</w:t>
      </w:r>
      <w:r w:rsidR="00402A38">
        <w:rPr>
          <w:rFonts w:eastAsiaTheme="minorEastAsia" w:cstheme="minorHAnsi"/>
          <w:lang w:bidi="en-US"/>
        </w:rPr>
        <w:t xml:space="preserve">n Action Plan, annexed to this document, </w:t>
      </w:r>
      <w:proofErr w:type="gramStart"/>
      <w:r w:rsidR="00402A38">
        <w:rPr>
          <w:rFonts w:eastAsiaTheme="minorEastAsia" w:cstheme="minorHAnsi"/>
          <w:lang w:bidi="en-US"/>
        </w:rPr>
        <w:t xml:space="preserve">will be </w:t>
      </w:r>
      <w:r w:rsidR="001D224C">
        <w:rPr>
          <w:rFonts w:eastAsiaTheme="minorEastAsia" w:cstheme="minorHAnsi"/>
          <w:lang w:bidi="en-US"/>
        </w:rPr>
        <w:t>revised</w:t>
      </w:r>
      <w:proofErr w:type="gramEnd"/>
      <w:r w:rsidR="001D224C">
        <w:rPr>
          <w:rFonts w:eastAsiaTheme="minorEastAsia" w:cstheme="minorHAnsi"/>
          <w:lang w:bidi="en-US"/>
        </w:rPr>
        <w:t xml:space="preserve"> regularly in </w:t>
      </w:r>
      <w:r w:rsidR="00761D9E">
        <w:rPr>
          <w:rFonts w:eastAsiaTheme="minorEastAsia" w:cstheme="minorHAnsi"/>
          <w:lang w:bidi="en-US"/>
        </w:rPr>
        <w:t>consultation</w:t>
      </w:r>
      <w:r w:rsidR="001D224C">
        <w:rPr>
          <w:rFonts w:eastAsiaTheme="minorEastAsia" w:cstheme="minorHAnsi"/>
          <w:lang w:bidi="en-US"/>
        </w:rPr>
        <w:t xml:space="preserve"> with PSEA Network members, to support monitoring, joint action and accountability.  </w:t>
      </w:r>
      <w:r w:rsidR="00402A38">
        <w:rPr>
          <w:rFonts w:eastAsiaTheme="minorEastAsia" w:cstheme="minorHAnsi"/>
          <w:lang w:bidi="en-US"/>
        </w:rPr>
        <w:t xml:space="preserve">This includes a section on resource mobilization in order to ensure that activities are able to continue beyond 2020.  </w:t>
      </w:r>
      <w:r w:rsidR="001D224C">
        <w:rPr>
          <w:rFonts w:eastAsiaTheme="minorEastAsia" w:cstheme="minorHAnsi"/>
          <w:lang w:bidi="en-US"/>
        </w:rPr>
        <w:t xml:space="preserve"> </w:t>
      </w:r>
    </w:p>
    <w:p w14:paraId="648517F1" w14:textId="320C4DE0" w:rsidR="002B3289" w:rsidRPr="00C46680" w:rsidRDefault="007B3558" w:rsidP="002B3289">
      <w:pPr>
        <w:rPr>
          <w:rFonts w:cstheme="minorHAnsi"/>
          <w:i/>
        </w:rPr>
      </w:pPr>
      <w:r>
        <w:rPr>
          <w:rFonts w:cstheme="minorHAnsi"/>
          <w:i/>
        </w:rPr>
        <w:t xml:space="preserve">Endorsed by HCT 29 November 2019 and attachments </w:t>
      </w:r>
    </w:p>
    <w:sectPr w:rsidR="002B3289" w:rsidRPr="00C46680" w:rsidSect="007A5275">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D528C" w14:textId="77777777" w:rsidR="007B1CB4" w:rsidRDefault="007B1CB4" w:rsidP="00015384">
      <w:pPr>
        <w:spacing w:after="0" w:line="240" w:lineRule="auto"/>
      </w:pPr>
      <w:r>
        <w:separator/>
      </w:r>
    </w:p>
  </w:endnote>
  <w:endnote w:type="continuationSeparator" w:id="0">
    <w:p w14:paraId="430F7695" w14:textId="77777777" w:rsidR="007B1CB4" w:rsidRDefault="007B1CB4" w:rsidP="00015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39341" w14:textId="77777777" w:rsidR="007A5275" w:rsidRDefault="007A52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363933"/>
      <w:docPartObj>
        <w:docPartGallery w:val="Page Numbers (Bottom of Page)"/>
        <w:docPartUnique/>
      </w:docPartObj>
    </w:sdtPr>
    <w:sdtEndPr>
      <w:rPr>
        <w:noProof/>
      </w:rPr>
    </w:sdtEndPr>
    <w:sdtContent>
      <w:p w14:paraId="41CE10C6" w14:textId="713A7A52" w:rsidR="002256D6" w:rsidRDefault="002256D6">
        <w:pPr>
          <w:pStyle w:val="Footer"/>
          <w:jc w:val="right"/>
        </w:pPr>
        <w:r>
          <w:fldChar w:fldCharType="begin"/>
        </w:r>
        <w:r>
          <w:instrText xml:space="preserve"> PAGE   \* MERGEFORMAT </w:instrText>
        </w:r>
        <w:r>
          <w:fldChar w:fldCharType="separate"/>
        </w:r>
        <w:r w:rsidR="009349A1">
          <w:rPr>
            <w:noProof/>
          </w:rPr>
          <w:t>4</w:t>
        </w:r>
        <w:r>
          <w:rPr>
            <w:noProof/>
          </w:rPr>
          <w:fldChar w:fldCharType="end"/>
        </w:r>
      </w:p>
    </w:sdtContent>
  </w:sdt>
  <w:p w14:paraId="19664F8D" w14:textId="77777777" w:rsidR="002256D6" w:rsidRDefault="00225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807E" w14:textId="77777777" w:rsidR="007A5275" w:rsidRDefault="007A5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634C7" w14:textId="77777777" w:rsidR="007B1CB4" w:rsidRDefault="007B1CB4" w:rsidP="00015384">
      <w:pPr>
        <w:spacing w:after="0" w:line="240" w:lineRule="auto"/>
      </w:pPr>
      <w:r>
        <w:separator/>
      </w:r>
    </w:p>
  </w:footnote>
  <w:footnote w:type="continuationSeparator" w:id="0">
    <w:p w14:paraId="6E265603" w14:textId="77777777" w:rsidR="007B1CB4" w:rsidRDefault="007B1CB4" w:rsidP="00015384">
      <w:pPr>
        <w:spacing w:after="0" w:line="240" w:lineRule="auto"/>
      </w:pPr>
      <w:r>
        <w:continuationSeparator/>
      </w:r>
    </w:p>
  </w:footnote>
  <w:footnote w:id="1">
    <w:p w14:paraId="23CFCF9F" w14:textId="77777777" w:rsidR="00015384" w:rsidRPr="00015384" w:rsidRDefault="00015384">
      <w:pPr>
        <w:pStyle w:val="FootnoteText"/>
      </w:pPr>
      <w:r>
        <w:rPr>
          <w:rStyle w:val="FootnoteReference"/>
        </w:rPr>
        <w:footnoteRef/>
      </w:r>
      <w:r>
        <w:t xml:space="preserve"> </w:t>
      </w:r>
      <w:r>
        <w:rPr>
          <w:i/>
        </w:rPr>
        <w:t xml:space="preserve">Secretary-General’s Bulletin on Special Measures for Protection from Sexual Exploitation and Sexual Abuse </w:t>
      </w:r>
      <w:r>
        <w:t xml:space="preserve">(ST/SGB/2003/13), available at: </w:t>
      </w:r>
      <w:hyperlink r:id="rId1" w:history="1">
        <w:r>
          <w:rPr>
            <w:rStyle w:val="Hyperlink"/>
          </w:rPr>
          <w:t>https://www.un.org/preventing-sexual-exploitation-and-abuse/content/documents</w:t>
        </w:r>
      </w:hyperlink>
      <w:r>
        <w:t xml:space="preserve"> (accessed 16 August 2019).  </w:t>
      </w:r>
    </w:p>
  </w:footnote>
  <w:footnote w:id="2">
    <w:p w14:paraId="765CC3E6" w14:textId="77777777" w:rsidR="00015384" w:rsidRPr="00015384" w:rsidRDefault="00015384">
      <w:pPr>
        <w:pStyle w:val="FootnoteText"/>
      </w:pPr>
      <w:r>
        <w:rPr>
          <w:rStyle w:val="FootnoteReference"/>
        </w:rPr>
        <w:footnoteRef/>
      </w:r>
      <w:r>
        <w:t xml:space="preserve"> </w:t>
      </w:r>
      <w:r>
        <w:rPr>
          <w:i/>
        </w:rPr>
        <w:t>Management and Accountability Framework of the UN Development and Resident Coordinator System</w:t>
      </w:r>
      <w:r w:rsidR="00542DE9">
        <w:t xml:space="preserve"> 18 March 2019 version, UN Sustainable Development Group.  </w:t>
      </w:r>
    </w:p>
  </w:footnote>
  <w:footnote w:id="3">
    <w:p w14:paraId="5FD45726" w14:textId="77777777" w:rsidR="00843AE8" w:rsidRDefault="00843AE8">
      <w:pPr>
        <w:pStyle w:val="FootnoteText"/>
      </w:pPr>
      <w:r>
        <w:rPr>
          <w:rStyle w:val="FootnoteReference"/>
        </w:rPr>
        <w:footnoteRef/>
      </w:r>
      <w:r>
        <w:t xml:space="preserve"> Inter-Agency Standing Committee, </w:t>
      </w:r>
      <w:r w:rsidRPr="00843AE8">
        <w:rPr>
          <w:i/>
        </w:rPr>
        <w:t>Standard Terms of Reference for Humanitarian Country Teams</w:t>
      </w:r>
      <w:r>
        <w:t>, February 2017</w:t>
      </w:r>
      <w:r w:rsidR="00251C18">
        <w:t xml:space="preserve">.  </w:t>
      </w:r>
    </w:p>
  </w:footnote>
  <w:footnote w:id="4">
    <w:p w14:paraId="2FF982CB" w14:textId="0FC0EC37" w:rsidR="007847B2" w:rsidRPr="006466AB" w:rsidRDefault="007847B2">
      <w:pPr>
        <w:pStyle w:val="FootnoteText"/>
      </w:pPr>
      <w:r>
        <w:rPr>
          <w:rStyle w:val="FootnoteReference"/>
        </w:rPr>
        <w:footnoteRef/>
      </w:r>
      <w:r>
        <w:t xml:space="preserve"> </w:t>
      </w:r>
      <w:r w:rsidR="006466AB">
        <w:t xml:space="preserve">OCHA, </w:t>
      </w:r>
      <w:r w:rsidR="006466AB">
        <w:rPr>
          <w:i/>
        </w:rPr>
        <w:t>Myanmar Humanitarian Needs Overview 2019</w:t>
      </w:r>
      <w:r w:rsidR="006466AB">
        <w:t xml:space="preserve">, </w:t>
      </w:r>
      <w:hyperlink r:id="rId2" w:history="1">
        <w:r w:rsidR="006466AB">
          <w:rPr>
            <w:rStyle w:val="Hyperlink"/>
          </w:rPr>
          <w:t>https://reliefweb.int/sites/reliefweb.int/files/resources/2019%20Myanmar%20HNO_FINAL.PDF</w:t>
        </w:r>
      </w:hyperlink>
      <w:r w:rsidR="006466AB">
        <w:t xml:space="preserve"> </w:t>
      </w:r>
    </w:p>
  </w:footnote>
  <w:footnote w:id="5">
    <w:p w14:paraId="70202BBC" w14:textId="77777777" w:rsidR="005178AC" w:rsidRDefault="005178AC">
      <w:pPr>
        <w:pStyle w:val="FootnoteText"/>
      </w:pPr>
      <w:r>
        <w:rPr>
          <w:rStyle w:val="FootnoteReference"/>
        </w:rPr>
        <w:footnoteRef/>
      </w:r>
      <w:r>
        <w:t xml:space="preserve"> IASC Minimum Operating Standards on PSEA</w:t>
      </w:r>
    </w:p>
  </w:footnote>
  <w:footnote w:id="6">
    <w:p w14:paraId="1D3AD0D2" w14:textId="77777777" w:rsidR="00CB005F" w:rsidRDefault="00CB005F">
      <w:pPr>
        <w:pStyle w:val="FootnoteText"/>
      </w:pPr>
      <w:r>
        <w:rPr>
          <w:rStyle w:val="FootnoteReference"/>
        </w:rPr>
        <w:footnoteRef/>
      </w:r>
      <w:r>
        <w:t xml:space="preserve"> ST/SGB/2003/13</w:t>
      </w:r>
    </w:p>
  </w:footnote>
  <w:footnote w:id="7">
    <w:p w14:paraId="7A939704" w14:textId="5CF34788" w:rsidR="008156F6" w:rsidRPr="008156F6" w:rsidRDefault="008156F6">
      <w:pPr>
        <w:pStyle w:val="FootnoteText"/>
      </w:pPr>
      <w:r>
        <w:rPr>
          <w:rStyle w:val="FootnoteReference"/>
        </w:rPr>
        <w:footnoteRef/>
      </w:r>
      <w:r>
        <w:t xml:space="preserve"> UNFPA, </w:t>
      </w:r>
      <w:r>
        <w:rPr>
          <w:i/>
        </w:rPr>
        <w:t>Minimum Standards for Prevention and Response to Gender-Based Violence in Emergencies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C2FEE" w14:textId="77777777" w:rsidR="007A5275" w:rsidRDefault="007A5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24F89" w14:textId="77777777" w:rsidR="007A5275" w:rsidRDefault="007A52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DF325" w14:textId="77777777" w:rsidR="007A5275" w:rsidRDefault="007A5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D0A0E"/>
    <w:multiLevelType w:val="hybridMultilevel"/>
    <w:tmpl w:val="D2F0C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2DC"/>
    <w:rsid w:val="00015384"/>
    <w:rsid w:val="00086007"/>
    <w:rsid w:val="000A36C2"/>
    <w:rsid w:val="000D1D72"/>
    <w:rsid w:val="000D7A7F"/>
    <w:rsid w:val="000E0FD6"/>
    <w:rsid w:val="000F7AE3"/>
    <w:rsid w:val="0010382B"/>
    <w:rsid w:val="00124CD9"/>
    <w:rsid w:val="001371CF"/>
    <w:rsid w:val="001548A0"/>
    <w:rsid w:val="001977BA"/>
    <w:rsid w:val="001C4275"/>
    <w:rsid w:val="001C66CE"/>
    <w:rsid w:val="001C7AEC"/>
    <w:rsid w:val="001D224C"/>
    <w:rsid w:val="001F2E4C"/>
    <w:rsid w:val="002256D6"/>
    <w:rsid w:val="00251C18"/>
    <w:rsid w:val="0026295D"/>
    <w:rsid w:val="002A590C"/>
    <w:rsid w:val="002B3289"/>
    <w:rsid w:val="00310422"/>
    <w:rsid w:val="003450CC"/>
    <w:rsid w:val="003635ED"/>
    <w:rsid w:val="00365E77"/>
    <w:rsid w:val="00374463"/>
    <w:rsid w:val="00380167"/>
    <w:rsid w:val="003A5B01"/>
    <w:rsid w:val="003B2FDC"/>
    <w:rsid w:val="003B4586"/>
    <w:rsid w:val="003B7225"/>
    <w:rsid w:val="003B72DC"/>
    <w:rsid w:val="003D4872"/>
    <w:rsid w:val="003D7522"/>
    <w:rsid w:val="00402A38"/>
    <w:rsid w:val="00414A80"/>
    <w:rsid w:val="00446B6B"/>
    <w:rsid w:val="00464715"/>
    <w:rsid w:val="00465298"/>
    <w:rsid w:val="004C2592"/>
    <w:rsid w:val="004F3CB8"/>
    <w:rsid w:val="00512E0D"/>
    <w:rsid w:val="005178AC"/>
    <w:rsid w:val="00521EEB"/>
    <w:rsid w:val="00542DE9"/>
    <w:rsid w:val="00582B73"/>
    <w:rsid w:val="005B3FAE"/>
    <w:rsid w:val="005F2FFC"/>
    <w:rsid w:val="006418C4"/>
    <w:rsid w:val="006466AB"/>
    <w:rsid w:val="00660EE0"/>
    <w:rsid w:val="006A5CC2"/>
    <w:rsid w:val="006D45C2"/>
    <w:rsid w:val="006E1AC9"/>
    <w:rsid w:val="00761D9E"/>
    <w:rsid w:val="007847B2"/>
    <w:rsid w:val="00786446"/>
    <w:rsid w:val="007A5275"/>
    <w:rsid w:val="007B1CB4"/>
    <w:rsid w:val="007B3558"/>
    <w:rsid w:val="007F7687"/>
    <w:rsid w:val="008156F6"/>
    <w:rsid w:val="0081575B"/>
    <w:rsid w:val="00830CA5"/>
    <w:rsid w:val="00843AE8"/>
    <w:rsid w:val="00883C6C"/>
    <w:rsid w:val="00897DE4"/>
    <w:rsid w:val="008D7C8A"/>
    <w:rsid w:val="009164B8"/>
    <w:rsid w:val="0093027E"/>
    <w:rsid w:val="009310E4"/>
    <w:rsid w:val="009349A1"/>
    <w:rsid w:val="00935A76"/>
    <w:rsid w:val="00956256"/>
    <w:rsid w:val="009D6EDC"/>
    <w:rsid w:val="009E5D9A"/>
    <w:rsid w:val="009F4202"/>
    <w:rsid w:val="009F6C06"/>
    <w:rsid w:val="00A64440"/>
    <w:rsid w:val="00A66E92"/>
    <w:rsid w:val="00AE6989"/>
    <w:rsid w:val="00AF1304"/>
    <w:rsid w:val="00AF325C"/>
    <w:rsid w:val="00B34D8F"/>
    <w:rsid w:val="00B5562D"/>
    <w:rsid w:val="00B61A7C"/>
    <w:rsid w:val="00B66760"/>
    <w:rsid w:val="00B85144"/>
    <w:rsid w:val="00B86CB3"/>
    <w:rsid w:val="00B9632F"/>
    <w:rsid w:val="00B965BD"/>
    <w:rsid w:val="00BA0B06"/>
    <w:rsid w:val="00BD7F83"/>
    <w:rsid w:val="00BE70BB"/>
    <w:rsid w:val="00BF66A8"/>
    <w:rsid w:val="00C16E0B"/>
    <w:rsid w:val="00C46680"/>
    <w:rsid w:val="00CB005F"/>
    <w:rsid w:val="00D33432"/>
    <w:rsid w:val="00D60818"/>
    <w:rsid w:val="00D77479"/>
    <w:rsid w:val="00DA60C5"/>
    <w:rsid w:val="00DF286D"/>
    <w:rsid w:val="00DF5AF3"/>
    <w:rsid w:val="00E6003B"/>
    <w:rsid w:val="00E76FAE"/>
    <w:rsid w:val="00EA0B90"/>
    <w:rsid w:val="00EB21BA"/>
    <w:rsid w:val="00EF5446"/>
    <w:rsid w:val="00F2101E"/>
    <w:rsid w:val="00F22E33"/>
    <w:rsid w:val="00F9241D"/>
    <w:rsid w:val="00F92DEB"/>
    <w:rsid w:val="00FA27F2"/>
    <w:rsid w:val="00FE1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8833E"/>
  <w15:chartTrackingRefBased/>
  <w15:docId w15:val="{81DD00C1-FC94-47BF-ACB2-05EDBEB2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B72DC"/>
    <w:rPr>
      <w:sz w:val="16"/>
      <w:szCs w:val="16"/>
    </w:rPr>
  </w:style>
  <w:style w:type="paragraph" w:styleId="CommentText">
    <w:name w:val="annotation text"/>
    <w:basedOn w:val="Normal"/>
    <w:link w:val="CommentTextChar"/>
    <w:uiPriority w:val="99"/>
    <w:semiHidden/>
    <w:unhideWhenUsed/>
    <w:rsid w:val="003B72DC"/>
    <w:pPr>
      <w:spacing w:after="200" w:line="276" w:lineRule="auto"/>
      <w:jc w:val="both"/>
    </w:pPr>
    <w:rPr>
      <w:rFonts w:eastAsiaTheme="minorEastAsia"/>
      <w:sz w:val="20"/>
      <w:szCs w:val="20"/>
      <w:lang w:bidi="en-US"/>
    </w:rPr>
  </w:style>
  <w:style w:type="character" w:customStyle="1" w:styleId="CommentTextChar">
    <w:name w:val="Comment Text Char"/>
    <w:basedOn w:val="DefaultParagraphFont"/>
    <w:link w:val="CommentText"/>
    <w:uiPriority w:val="99"/>
    <w:semiHidden/>
    <w:rsid w:val="003B72DC"/>
    <w:rPr>
      <w:rFonts w:eastAsiaTheme="minorEastAsia"/>
      <w:sz w:val="20"/>
      <w:szCs w:val="20"/>
      <w:lang w:bidi="en-US"/>
    </w:rPr>
  </w:style>
  <w:style w:type="paragraph" w:styleId="BalloonText">
    <w:name w:val="Balloon Text"/>
    <w:basedOn w:val="Normal"/>
    <w:link w:val="BalloonTextChar"/>
    <w:uiPriority w:val="99"/>
    <w:semiHidden/>
    <w:unhideWhenUsed/>
    <w:rsid w:val="003B7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2DC"/>
    <w:rPr>
      <w:rFonts w:ascii="Segoe UI" w:hAnsi="Segoe UI" w:cs="Segoe UI"/>
      <w:sz w:val="18"/>
      <w:szCs w:val="18"/>
    </w:rPr>
  </w:style>
  <w:style w:type="paragraph" w:styleId="FootnoteText">
    <w:name w:val="footnote text"/>
    <w:basedOn w:val="Normal"/>
    <w:link w:val="FootnoteTextChar"/>
    <w:uiPriority w:val="99"/>
    <w:semiHidden/>
    <w:unhideWhenUsed/>
    <w:rsid w:val="000153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5384"/>
    <w:rPr>
      <w:sz w:val="20"/>
      <w:szCs w:val="20"/>
    </w:rPr>
  </w:style>
  <w:style w:type="character" w:styleId="FootnoteReference">
    <w:name w:val="footnote reference"/>
    <w:basedOn w:val="DefaultParagraphFont"/>
    <w:uiPriority w:val="99"/>
    <w:semiHidden/>
    <w:unhideWhenUsed/>
    <w:rsid w:val="00015384"/>
    <w:rPr>
      <w:vertAlign w:val="superscript"/>
    </w:rPr>
  </w:style>
  <w:style w:type="character" w:styleId="Hyperlink">
    <w:name w:val="Hyperlink"/>
    <w:basedOn w:val="DefaultParagraphFont"/>
    <w:uiPriority w:val="99"/>
    <w:semiHidden/>
    <w:unhideWhenUsed/>
    <w:rsid w:val="00015384"/>
    <w:rPr>
      <w:color w:val="0000FF"/>
      <w:u w:val="single"/>
    </w:rPr>
  </w:style>
  <w:style w:type="paragraph" w:styleId="ListParagraph">
    <w:name w:val="List Paragraph"/>
    <w:basedOn w:val="Normal"/>
    <w:uiPriority w:val="34"/>
    <w:qFormat/>
    <w:rsid w:val="00086007"/>
    <w:pPr>
      <w:ind w:left="720"/>
      <w:contextualSpacing/>
    </w:pPr>
  </w:style>
  <w:style w:type="paragraph" w:styleId="Header">
    <w:name w:val="header"/>
    <w:basedOn w:val="Normal"/>
    <w:link w:val="HeaderChar"/>
    <w:uiPriority w:val="99"/>
    <w:unhideWhenUsed/>
    <w:rsid w:val="002256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6D6"/>
  </w:style>
  <w:style w:type="paragraph" w:styleId="Footer">
    <w:name w:val="footer"/>
    <w:basedOn w:val="Normal"/>
    <w:link w:val="FooterChar"/>
    <w:uiPriority w:val="99"/>
    <w:unhideWhenUsed/>
    <w:rsid w:val="00225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6D6"/>
  </w:style>
  <w:style w:type="paragraph" w:styleId="CommentSubject">
    <w:name w:val="annotation subject"/>
    <w:basedOn w:val="CommentText"/>
    <w:next w:val="CommentText"/>
    <w:link w:val="CommentSubjectChar"/>
    <w:uiPriority w:val="99"/>
    <w:semiHidden/>
    <w:unhideWhenUsed/>
    <w:rsid w:val="00D77479"/>
    <w:pPr>
      <w:spacing w:after="160" w:line="240" w:lineRule="auto"/>
      <w:jc w:val="left"/>
    </w:pPr>
    <w:rPr>
      <w:rFonts w:eastAsiaTheme="minorHAnsi"/>
      <w:b/>
      <w:bCs/>
      <w:lang w:bidi="ar-SA"/>
    </w:rPr>
  </w:style>
  <w:style w:type="character" w:customStyle="1" w:styleId="CommentSubjectChar">
    <w:name w:val="Comment Subject Char"/>
    <w:basedOn w:val="CommentTextChar"/>
    <w:link w:val="CommentSubject"/>
    <w:uiPriority w:val="99"/>
    <w:semiHidden/>
    <w:rsid w:val="00D77479"/>
    <w:rPr>
      <w:rFonts w:eastAsiaTheme="minorEastAsia"/>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eliefweb.int/sites/reliefweb.int/files/resources/2019%20Myanmar%20HNO_FINAL.PDF" TargetMode="External"/><Relationship Id="rId1" Type="http://schemas.openxmlformats.org/officeDocument/2006/relationships/hyperlink" Target="https://www.un.org/preventing-sexual-exploitation-and-abuse/content/documents"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C15593-8F9F-47E5-BE6A-548D52B38D9F}" type="doc">
      <dgm:prSet loTypeId="urn:microsoft.com/office/officeart/2005/8/layout/hList1" loCatId="list" qsTypeId="urn:microsoft.com/office/officeart/2005/8/quickstyle/simple1" qsCatId="simple" csTypeId="urn:microsoft.com/office/officeart/2005/8/colors/colorful1" csCatId="colorful" phldr="1"/>
      <dgm:spPr/>
      <dgm:t>
        <a:bodyPr/>
        <a:lstStyle/>
        <a:p>
          <a:endParaRPr lang="en-US"/>
        </a:p>
      </dgm:t>
    </dgm:pt>
    <dgm:pt modelId="{8940AB41-06BB-44F7-B38B-947B1D61770E}">
      <dgm:prSet phldrT="[Text]"/>
      <dgm:spPr/>
      <dgm:t>
        <a:bodyPr/>
        <a:lstStyle/>
        <a:p>
          <a:r>
            <a:rPr lang="en-US"/>
            <a:t>Engagement </a:t>
          </a:r>
        </a:p>
      </dgm:t>
    </dgm:pt>
    <dgm:pt modelId="{809BCDEB-3584-4A87-BCCA-FA0DD983DF30}" type="parTrans" cxnId="{E9093A12-488B-4B62-A62E-7DF62F034128}">
      <dgm:prSet/>
      <dgm:spPr/>
      <dgm:t>
        <a:bodyPr/>
        <a:lstStyle/>
        <a:p>
          <a:endParaRPr lang="en-US"/>
        </a:p>
      </dgm:t>
    </dgm:pt>
    <dgm:pt modelId="{E36E3DF9-D32D-4264-885A-DBADD46118D9}" type="sibTrans" cxnId="{E9093A12-488B-4B62-A62E-7DF62F034128}">
      <dgm:prSet/>
      <dgm:spPr/>
      <dgm:t>
        <a:bodyPr/>
        <a:lstStyle/>
        <a:p>
          <a:endParaRPr lang="en-US"/>
        </a:p>
      </dgm:t>
    </dgm:pt>
    <dgm:pt modelId="{4C2017E5-8439-40C3-80C4-0A31FF6D8454}">
      <dgm:prSet phldrT="[Text]"/>
      <dgm:spPr/>
      <dgm:t>
        <a:bodyPr/>
        <a:lstStyle/>
        <a:p>
          <a:r>
            <a:rPr lang="en-US"/>
            <a:t>Awareness raising</a:t>
          </a:r>
        </a:p>
      </dgm:t>
    </dgm:pt>
    <dgm:pt modelId="{556028BD-CD53-491D-B83F-0A0AAC075635}" type="parTrans" cxnId="{B05E3B2E-A44E-42CA-AE83-84D350CCC602}">
      <dgm:prSet/>
      <dgm:spPr/>
      <dgm:t>
        <a:bodyPr/>
        <a:lstStyle/>
        <a:p>
          <a:endParaRPr lang="en-US"/>
        </a:p>
      </dgm:t>
    </dgm:pt>
    <dgm:pt modelId="{689BF6EC-73FF-4F09-8F5B-E859BC35964D}" type="sibTrans" cxnId="{B05E3B2E-A44E-42CA-AE83-84D350CCC602}">
      <dgm:prSet/>
      <dgm:spPr/>
      <dgm:t>
        <a:bodyPr/>
        <a:lstStyle/>
        <a:p>
          <a:endParaRPr lang="en-US"/>
        </a:p>
      </dgm:t>
    </dgm:pt>
    <dgm:pt modelId="{BEB090AE-32BF-4C53-9E68-DA906F455036}">
      <dgm:prSet phldrT="[Text]"/>
      <dgm:spPr/>
      <dgm:t>
        <a:bodyPr/>
        <a:lstStyle/>
        <a:p>
          <a:r>
            <a:rPr lang="en-US"/>
            <a:t>Community-based complaints mechanism</a:t>
          </a:r>
        </a:p>
      </dgm:t>
    </dgm:pt>
    <dgm:pt modelId="{8E105F24-D1EB-4E72-9ED9-10353F1DE5A7}" type="parTrans" cxnId="{644C6B14-FEE7-4431-AA43-B09C52B40431}">
      <dgm:prSet/>
      <dgm:spPr/>
      <dgm:t>
        <a:bodyPr/>
        <a:lstStyle/>
        <a:p>
          <a:endParaRPr lang="en-US"/>
        </a:p>
      </dgm:t>
    </dgm:pt>
    <dgm:pt modelId="{1E3E2CF5-838B-4F74-A0C2-755F3F46A07C}" type="sibTrans" cxnId="{644C6B14-FEE7-4431-AA43-B09C52B40431}">
      <dgm:prSet/>
      <dgm:spPr/>
      <dgm:t>
        <a:bodyPr/>
        <a:lstStyle/>
        <a:p>
          <a:endParaRPr lang="en-US"/>
        </a:p>
      </dgm:t>
    </dgm:pt>
    <dgm:pt modelId="{1274FFD5-D009-4507-A070-E846F4D2276F}">
      <dgm:prSet phldrT="[Text]"/>
      <dgm:spPr/>
      <dgm:t>
        <a:bodyPr/>
        <a:lstStyle/>
        <a:p>
          <a:r>
            <a:rPr lang="en-US"/>
            <a:t>Prevention</a:t>
          </a:r>
        </a:p>
      </dgm:t>
    </dgm:pt>
    <dgm:pt modelId="{CD99A99C-3B06-4E1D-B7EA-5E91ABE3F6F5}" type="parTrans" cxnId="{292D7FD9-9452-4C5D-A393-B3F65EB198E3}">
      <dgm:prSet/>
      <dgm:spPr/>
      <dgm:t>
        <a:bodyPr/>
        <a:lstStyle/>
        <a:p>
          <a:endParaRPr lang="en-US"/>
        </a:p>
      </dgm:t>
    </dgm:pt>
    <dgm:pt modelId="{323A52B9-D2B6-4A39-9FE2-41FF0239A3D1}" type="sibTrans" cxnId="{292D7FD9-9452-4C5D-A393-B3F65EB198E3}">
      <dgm:prSet/>
      <dgm:spPr/>
      <dgm:t>
        <a:bodyPr/>
        <a:lstStyle/>
        <a:p>
          <a:endParaRPr lang="en-US"/>
        </a:p>
      </dgm:t>
    </dgm:pt>
    <dgm:pt modelId="{C4315C70-85B2-41C6-A42E-691C248094DB}">
      <dgm:prSet phldrT="[Text]"/>
      <dgm:spPr/>
      <dgm:t>
        <a:bodyPr/>
        <a:lstStyle/>
        <a:p>
          <a:r>
            <a:rPr lang="en-US"/>
            <a:t>Sample training tools</a:t>
          </a:r>
        </a:p>
      </dgm:t>
    </dgm:pt>
    <dgm:pt modelId="{CE4C93C0-1099-4447-8F16-218E6752D468}" type="parTrans" cxnId="{6B5BCC17-0BC8-4520-B5FB-DAA3DC40234D}">
      <dgm:prSet/>
      <dgm:spPr/>
      <dgm:t>
        <a:bodyPr/>
        <a:lstStyle/>
        <a:p>
          <a:endParaRPr lang="en-US"/>
        </a:p>
      </dgm:t>
    </dgm:pt>
    <dgm:pt modelId="{FAD0DFD0-3F2D-4D83-8835-EEE704367BFA}" type="sibTrans" cxnId="{6B5BCC17-0BC8-4520-B5FB-DAA3DC40234D}">
      <dgm:prSet/>
      <dgm:spPr/>
      <dgm:t>
        <a:bodyPr/>
        <a:lstStyle/>
        <a:p>
          <a:endParaRPr lang="en-US"/>
        </a:p>
      </dgm:t>
    </dgm:pt>
    <dgm:pt modelId="{CA48BD26-2DE6-4F43-A234-5598B3D3380F}">
      <dgm:prSet phldrT="[Text]"/>
      <dgm:spPr/>
      <dgm:t>
        <a:bodyPr/>
        <a:lstStyle/>
        <a:p>
          <a:r>
            <a:rPr lang="en-US"/>
            <a:t>Capacity building</a:t>
          </a:r>
        </a:p>
      </dgm:t>
    </dgm:pt>
    <dgm:pt modelId="{5F924853-9CAB-413C-8260-76F4529CEEE5}" type="parTrans" cxnId="{3122DA42-365C-43FC-9CF7-665DEA11E6AD}">
      <dgm:prSet/>
      <dgm:spPr/>
      <dgm:t>
        <a:bodyPr/>
        <a:lstStyle/>
        <a:p>
          <a:endParaRPr lang="en-US"/>
        </a:p>
      </dgm:t>
    </dgm:pt>
    <dgm:pt modelId="{7BB49181-DC03-48F7-AFEE-5C0981B31DB4}" type="sibTrans" cxnId="{3122DA42-365C-43FC-9CF7-665DEA11E6AD}">
      <dgm:prSet/>
      <dgm:spPr/>
      <dgm:t>
        <a:bodyPr/>
        <a:lstStyle/>
        <a:p>
          <a:endParaRPr lang="en-US"/>
        </a:p>
      </dgm:t>
    </dgm:pt>
    <dgm:pt modelId="{C9D0E174-97BE-403D-823B-A721511B48F3}">
      <dgm:prSet phldrT="[Text]"/>
      <dgm:spPr/>
      <dgm:t>
        <a:bodyPr/>
        <a:lstStyle/>
        <a:p>
          <a:r>
            <a:rPr lang="en-US"/>
            <a:t>Response </a:t>
          </a:r>
        </a:p>
      </dgm:t>
    </dgm:pt>
    <dgm:pt modelId="{FD69A5E2-E7F9-4505-A140-901759F169A6}" type="parTrans" cxnId="{B3E557DD-6CC1-4833-A97C-629C28F19F5F}">
      <dgm:prSet/>
      <dgm:spPr/>
      <dgm:t>
        <a:bodyPr/>
        <a:lstStyle/>
        <a:p>
          <a:endParaRPr lang="en-US"/>
        </a:p>
      </dgm:t>
    </dgm:pt>
    <dgm:pt modelId="{72CC7E74-E41F-46AE-BDFB-E3E29250A081}" type="sibTrans" cxnId="{B3E557DD-6CC1-4833-A97C-629C28F19F5F}">
      <dgm:prSet/>
      <dgm:spPr/>
      <dgm:t>
        <a:bodyPr/>
        <a:lstStyle/>
        <a:p>
          <a:endParaRPr lang="en-US"/>
        </a:p>
      </dgm:t>
    </dgm:pt>
    <dgm:pt modelId="{289B942E-E122-4E56-844E-547DD8AD3E14}">
      <dgm:prSet phldrT="[Text]"/>
      <dgm:spPr/>
      <dgm:t>
        <a:bodyPr/>
        <a:lstStyle/>
        <a:p>
          <a:r>
            <a:rPr lang="en-US"/>
            <a:t>Pool of investigators</a:t>
          </a:r>
        </a:p>
      </dgm:t>
    </dgm:pt>
    <dgm:pt modelId="{E76FDE97-3EC0-41EA-B8DB-4559427F4673}" type="parTrans" cxnId="{BA0FF6B5-6E11-420D-A664-3283C404CE5E}">
      <dgm:prSet/>
      <dgm:spPr/>
      <dgm:t>
        <a:bodyPr/>
        <a:lstStyle/>
        <a:p>
          <a:endParaRPr lang="en-US"/>
        </a:p>
      </dgm:t>
    </dgm:pt>
    <dgm:pt modelId="{F369A1DC-BA52-41C6-B5D1-A55E317625A2}" type="sibTrans" cxnId="{BA0FF6B5-6E11-420D-A664-3283C404CE5E}">
      <dgm:prSet/>
      <dgm:spPr/>
      <dgm:t>
        <a:bodyPr/>
        <a:lstStyle/>
        <a:p>
          <a:endParaRPr lang="en-US"/>
        </a:p>
      </dgm:t>
    </dgm:pt>
    <dgm:pt modelId="{0E35FF20-7605-4262-8F53-FF3D64BC30CA}">
      <dgm:prSet phldrT="[Text]"/>
      <dgm:spPr/>
      <dgm:t>
        <a:bodyPr/>
        <a:lstStyle/>
        <a:p>
          <a:r>
            <a:rPr lang="en-US"/>
            <a:t>Response in line with GBV best practice</a:t>
          </a:r>
        </a:p>
      </dgm:t>
    </dgm:pt>
    <dgm:pt modelId="{3AD74732-3CA1-4B1B-A732-8B743F215906}" type="parTrans" cxnId="{A780DFDC-C76B-41AA-909E-F147404DC03F}">
      <dgm:prSet/>
      <dgm:spPr/>
      <dgm:t>
        <a:bodyPr/>
        <a:lstStyle/>
        <a:p>
          <a:endParaRPr lang="en-US"/>
        </a:p>
      </dgm:t>
    </dgm:pt>
    <dgm:pt modelId="{408BCC31-55D7-47A4-AC14-5D88FE48C3BF}" type="sibTrans" cxnId="{A780DFDC-C76B-41AA-909E-F147404DC03F}">
      <dgm:prSet/>
      <dgm:spPr/>
      <dgm:t>
        <a:bodyPr/>
        <a:lstStyle/>
        <a:p>
          <a:endParaRPr lang="en-US"/>
        </a:p>
      </dgm:t>
    </dgm:pt>
    <dgm:pt modelId="{DC3D488C-A837-4A25-BE03-0BB31810216E}">
      <dgm:prSet phldrT="[Text]"/>
      <dgm:spPr/>
      <dgm:t>
        <a:bodyPr/>
        <a:lstStyle/>
        <a:p>
          <a:r>
            <a:rPr lang="en-US"/>
            <a:t>Management and Coordination</a:t>
          </a:r>
        </a:p>
      </dgm:t>
    </dgm:pt>
    <dgm:pt modelId="{4E00D1BE-7166-4B68-B11E-DDC73697BE06}" type="parTrans" cxnId="{06EB4C49-FE32-478A-8429-A79FCA1BBD8F}">
      <dgm:prSet/>
      <dgm:spPr/>
      <dgm:t>
        <a:bodyPr/>
        <a:lstStyle/>
        <a:p>
          <a:endParaRPr lang="en-US"/>
        </a:p>
      </dgm:t>
    </dgm:pt>
    <dgm:pt modelId="{0ED7404A-9F86-49C1-9EF6-86637C0BAEA7}" type="sibTrans" cxnId="{06EB4C49-FE32-478A-8429-A79FCA1BBD8F}">
      <dgm:prSet/>
      <dgm:spPr/>
      <dgm:t>
        <a:bodyPr/>
        <a:lstStyle/>
        <a:p>
          <a:endParaRPr lang="en-US"/>
        </a:p>
      </dgm:t>
    </dgm:pt>
    <dgm:pt modelId="{A54B5A62-1D76-4145-B5CA-02DDEF371735}">
      <dgm:prSet phldrT="[Text]"/>
      <dgm:spPr/>
      <dgm:t>
        <a:bodyPr/>
        <a:lstStyle/>
        <a:p>
          <a:r>
            <a:rPr lang="en-US"/>
            <a:t>Inter-agency referral mechanism</a:t>
          </a:r>
        </a:p>
      </dgm:t>
    </dgm:pt>
    <dgm:pt modelId="{9887F395-379B-4F93-928E-9591293041E7}" type="parTrans" cxnId="{CF58D2E7-E1FF-43E3-886E-233A1FCD3B9A}">
      <dgm:prSet/>
      <dgm:spPr/>
      <dgm:t>
        <a:bodyPr/>
        <a:lstStyle/>
        <a:p>
          <a:endParaRPr lang="en-US"/>
        </a:p>
      </dgm:t>
    </dgm:pt>
    <dgm:pt modelId="{4271172E-CA2E-497C-8D44-AD8CE5D24876}" type="sibTrans" cxnId="{CF58D2E7-E1FF-43E3-886E-233A1FCD3B9A}">
      <dgm:prSet/>
      <dgm:spPr/>
      <dgm:t>
        <a:bodyPr/>
        <a:lstStyle/>
        <a:p>
          <a:endParaRPr lang="en-US"/>
        </a:p>
      </dgm:t>
    </dgm:pt>
    <dgm:pt modelId="{24FC5C79-63B7-4A45-89EC-8C3D4C6F4411}">
      <dgm:prSet phldrT="[Text]"/>
      <dgm:spPr/>
      <dgm:t>
        <a:bodyPr/>
        <a:lstStyle/>
        <a:p>
          <a:r>
            <a:rPr lang="en-US"/>
            <a:t>Linkages with other local and regional networks</a:t>
          </a:r>
        </a:p>
      </dgm:t>
    </dgm:pt>
    <dgm:pt modelId="{D864C901-2ED2-4EA4-A0CA-5A919F510999}" type="parTrans" cxnId="{A20A6E08-6E34-4017-812F-6E974F63A248}">
      <dgm:prSet/>
      <dgm:spPr/>
      <dgm:t>
        <a:bodyPr/>
        <a:lstStyle/>
        <a:p>
          <a:endParaRPr lang="en-US"/>
        </a:p>
      </dgm:t>
    </dgm:pt>
    <dgm:pt modelId="{1596E7BD-6A39-4071-A65B-D7273ED81896}" type="sibTrans" cxnId="{A20A6E08-6E34-4017-812F-6E974F63A248}">
      <dgm:prSet/>
      <dgm:spPr/>
      <dgm:t>
        <a:bodyPr/>
        <a:lstStyle/>
        <a:p>
          <a:endParaRPr lang="en-US"/>
        </a:p>
      </dgm:t>
    </dgm:pt>
    <dgm:pt modelId="{02220172-04E4-49F8-A8AE-2BB3198473BD}">
      <dgm:prSet phldrT="[Text]"/>
      <dgm:spPr/>
      <dgm:t>
        <a:bodyPr/>
        <a:lstStyle/>
        <a:p>
          <a:r>
            <a:rPr lang="en-US"/>
            <a:t>Victim assistance</a:t>
          </a:r>
        </a:p>
      </dgm:t>
    </dgm:pt>
    <dgm:pt modelId="{D9DD5FBC-84A9-4B26-9977-17F77706AD94}" type="parTrans" cxnId="{1C32E88D-176B-4E64-95F3-D121DA036F5A}">
      <dgm:prSet/>
      <dgm:spPr/>
      <dgm:t>
        <a:bodyPr/>
        <a:lstStyle/>
        <a:p>
          <a:endParaRPr lang="en-US"/>
        </a:p>
      </dgm:t>
    </dgm:pt>
    <dgm:pt modelId="{A6044A55-ECBC-488C-8302-D022DDA598A7}" type="sibTrans" cxnId="{1C32E88D-176B-4E64-95F3-D121DA036F5A}">
      <dgm:prSet/>
      <dgm:spPr/>
      <dgm:t>
        <a:bodyPr/>
        <a:lstStyle/>
        <a:p>
          <a:endParaRPr lang="en-US"/>
        </a:p>
      </dgm:t>
    </dgm:pt>
    <dgm:pt modelId="{CCAD6199-2C9C-4A8A-9547-F8FBACBAB1CE}" type="pres">
      <dgm:prSet presAssocID="{03C15593-8F9F-47E5-BE6A-548D52B38D9F}" presName="Name0" presStyleCnt="0">
        <dgm:presLayoutVars>
          <dgm:dir/>
          <dgm:animLvl val="lvl"/>
          <dgm:resizeHandles val="exact"/>
        </dgm:presLayoutVars>
      </dgm:prSet>
      <dgm:spPr/>
      <dgm:t>
        <a:bodyPr/>
        <a:lstStyle/>
        <a:p>
          <a:endParaRPr lang="en-US"/>
        </a:p>
      </dgm:t>
    </dgm:pt>
    <dgm:pt modelId="{AE1E6733-FED5-4FA0-99D6-F79A90516EAB}" type="pres">
      <dgm:prSet presAssocID="{8940AB41-06BB-44F7-B38B-947B1D61770E}" presName="composite" presStyleCnt="0"/>
      <dgm:spPr/>
    </dgm:pt>
    <dgm:pt modelId="{A455D3A0-3135-4847-8C79-5C0DF4D9D5A1}" type="pres">
      <dgm:prSet presAssocID="{8940AB41-06BB-44F7-B38B-947B1D61770E}" presName="parTx" presStyleLbl="alignNode1" presStyleIdx="0" presStyleCnt="4">
        <dgm:presLayoutVars>
          <dgm:chMax val="0"/>
          <dgm:chPref val="0"/>
          <dgm:bulletEnabled val="1"/>
        </dgm:presLayoutVars>
      </dgm:prSet>
      <dgm:spPr/>
      <dgm:t>
        <a:bodyPr/>
        <a:lstStyle/>
        <a:p>
          <a:endParaRPr lang="en-US"/>
        </a:p>
      </dgm:t>
    </dgm:pt>
    <dgm:pt modelId="{126EA161-1D3B-479F-BF01-6BD735E71312}" type="pres">
      <dgm:prSet presAssocID="{8940AB41-06BB-44F7-B38B-947B1D61770E}" presName="desTx" presStyleLbl="alignAccFollowNode1" presStyleIdx="0" presStyleCnt="4">
        <dgm:presLayoutVars>
          <dgm:bulletEnabled val="1"/>
        </dgm:presLayoutVars>
      </dgm:prSet>
      <dgm:spPr/>
      <dgm:t>
        <a:bodyPr/>
        <a:lstStyle/>
        <a:p>
          <a:endParaRPr lang="en-US"/>
        </a:p>
      </dgm:t>
    </dgm:pt>
    <dgm:pt modelId="{9F14AAA7-95B3-4765-BBB8-6302478E4764}" type="pres">
      <dgm:prSet presAssocID="{E36E3DF9-D32D-4264-885A-DBADD46118D9}" presName="space" presStyleCnt="0"/>
      <dgm:spPr/>
    </dgm:pt>
    <dgm:pt modelId="{D28EA216-5FA0-4E92-8C26-1B4AD67AE716}" type="pres">
      <dgm:prSet presAssocID="{1274FFD5-D009-4507-A070-E846F4D2276F}" presName="composite" presStyleCnt="0"/>
      <dgm:spPr/>
    </dgm:pt>
    <dgm:pt modelId="{2FA82544-5CC4-43B9-8AD9-60B1DD7455B3}" type="pres">
      <dgm:prSet presAssocID="{1274FFD5-D009-4507-A070-E846F4D2276F}" presName="parTx" presStyleLbl="alignNode1" presStyleIdx="1" presStyleCnt="4">
        <dgm:presLayoutVars>
          <dgm:chMax val="0"/>
          <dgm:chPref val="0"/>
          <dgm:bulletEnabled val="1"/>
        </dgm:presLayoutVars>
      </dgm:prSet>
      <dgm:spPr/>
      <dgm:t>
        <a:bodyPr/>
        <a:lstStyle/>
        <a:p>
          <a:endParaRPr lang="en-US"/>
        </a:p>
      </dgm:t>
    </dgm:pt>
    <dgm:pt modelId="{D8B2503B-D0BA-47F4-A099-BD1821265F29}" type="pres">
      <dgm:prSet presAssocID="{1274FFD5-D009-4507-A070-E846F4D2276F}" presName="desTx" presStyleLbl="alignAccFollowNode1" presStyleIdx="1" presStyleCnt="4">
        <dgm:presLayoutVars>
          <dgm:bulletEnabled val="1"/>
        </dgm:presLayoutVars>
      </dgm:prSet>
      <dgm:spPr/>
      <dgm:t>
        <a:bodyPr/>
        <a:lstStyle/>
        <a:p>
          <a:endParaRPr lang="en-US"/>
        </a:p>
      </dgm:t>
    </dgm:pt>
    <dgm:pt modelId="{1E88A47E-B294-4A32-9CA9-F71365894BAF}" type="pres">
      <dgm:prSet presAssocID="{323A52B9-D2B6-4A39-9FE2-41FF0239A3D1}" presName="space" presStyleCnt="0"/>
      <dgm:spPr/>
    </dgm:pt>
    <dgm:pt modelId="{B3BF0785-625C-4606-BF1B-18361256941C}" type="pres">
      <dgm:prSet presAssocID="{C9D0E174-97BE-403D-823B-A721511B48F3}" presName="composite" presStyleCnt="0"/>
      <dgm:spPr/>
    </dgm:pt>
    <dgm:pt modelId="{F3543BD0-A08C-4D82-9B15-D62DC6126E0A}" type="pres">
      <dgm:prSet presAssocID="{C9D0E174-97BE-403D-823B-A721511B48F3}" presName="parTx" presStyleLbl="alignNode1" presStyleIdx="2" presStyleCnt="4">
        <dgm:presLayoutVars>
          <dgm:chMax val="0"/>
          <dgm:chPref val="0"/>
          <dgm:bulletEnabled val="1"/>
        </dgm:presLayoutVars>
      </dgm:prSet>
      <dgm:spPr/>
      <dgm:t>
        <a:bodyPr/>
        <a:lstStyle/>
        <a:p>
          <a:endParaRPr lang="en-US"/>
        </a:p>
      </dgm:t>
    </dgm:pt>
    <dgm:pt modelId="{7CB41956-94D8-46E1-B1F3-200B91D47399}" type="pres">
      <dgm:prSet presAssocID="{C9D0E174-97BE-403D-823B-A721511B48F3}" presName="desTx" presStyleLbl="alignAccFollowNode1" presStyleIdx="2" presStyleCnt="4">
        <dgm:presLayoutVars>
          <dgm:bulletEnabled val="1"/>
        </dgm:presLayoutVars>
      </dgm:prSet>
      <dgm:spPr/>
      <dgm:t>
        <a:bodyPr/>
        <a:lstStyle/>
        <a:p>
          <a:endParaRPr lang="en-US"/>
        </a:p>
      </dgm:t>
    </dgm:pt>
    <dgm:pt modelId="{1309E01D-69D3-42E2-B713-F7EFFEFF0EE1}" type="pres">
      <dgm:prSet presAssocID="{72CC7E74-E41F-46AE-BDFB-E3E29250A081}" presName="space" presStyleCnt="0"/>
      <dgm:spPr/>
    </dgm:pt>
    <dgm:pt modelId="{821E1F39-9B19-4D44-891A-242BFFDBAA2C}" type="pres">
      <dgm:prSet presAssocID="{DC3D488C-A837-4A25-BE03-0BB31810216E}" presName="composite" presStyleCnt="0"/>
      <dgm:spPr/>
    </dgm:pt>
    <dgm:pt modelId="{D33BEF35-C38E-42A4-A859-F3A1D30F06BD}" type="pres">
      <dgm:prSet presAssocID="{DC3D488C-A837-4A25-BE03-0BB31810216E}" presName="parTx" presStyleLbl="alignNode1" presStyleIdx="3" presStyleCnt="4">
        <dgm:presLayoutVars>
          <dgm:chMax val="0"/>
          <dgm:chPref val="0"/>
          <dgm:bulletEnabled val="1"/>
        </dgm:presLayoutVars>
      </dgm:prSet>
      <dgm:spPr/>
      <dgm:t>
        <a:bodyPr/>
        <a:lstStyle/>
        <a:p>
          <a:endParaRPr lang="en-US"/>
        </a:p>
      </dgm:t>
    </dgm:pt>
    <dgm:pt modelId="{4BC5D42B-7D1C-485F-94DC-DC9216E78E5C}" type="pres">
      <dgm:prSet presAssocID="{DC3D488C-A837-4A25-BE03-0BB31810216E}" presName="desTx" presStyleLbl="alignAccFollowNode1" presStyleIdx="3" presStyleCnt="4">
        <dgm:presLayoutVars>
          <dgm:bulletEnabled val="1"/>
        </dgm:presLayoutVars>
      </dgm:prSet>
      <dgm:spPr/>
      <dgm:t>
        <a:bodyPr/>
        <a:lstStyle/>
        <a:p>
          <a:endParaRPr lang="en-US"/>
        </a:p>
      </dgm:t>
    </dgm:pt>
  </dgm:ptLst>
  <dgm:cxnLst>
    <dgm:cxn modelId="{B3E557DD-6CC1-4833-A97C-629C28F19F5F}" srcId="{03C15593-8F9F-47E5-BE6A-548D52B38D9F}" destId="{C9D0E174-97BE-403D-823B-A721511B48F3}" srcOrd="2" destOrd="0" parTransId="{FD69A5E2-E7F9-4505-A140-901759F169A6}" sibTransId="{72CC7E74-E41F-46AE-BDFB-E3E29250A081}"/>
    <dgm:cxn modelId="{784BE938-0680-42DA-9F48-5AD9FA507F3B}" type="presOf" srcId="{0E35FF20-7605-4262-8F53-FF3D64BC30CA}" destId="{7CB41956-94D8-46E1-B1F3-200B91D47399}" srcOrd="0" destOrd="2" presId="urn:microsoft.com/office/officeart/2005/8/layout/hList1"/>
    <dgm:cxn modelId="{434A08DB-493A-48C9-8978-6F288F7470A5}" type="presOf" srcId="{C9D0E174-97BE-403D-823B-A721511B48F3}" destId="{F3543BD0-A08C-4D82-9B15-D62DC6126E0A}" srcOrd="0" destOrd="0" presId="urn:microsoft.com/office/officeart/2005/8/layout/hList1"/>
    <dgm:cxn modelId="{E9093A12-488B-4B62-A62E-7DF62F034128}" srcId="{03C15593-8F9F-47E5-BE6A-548D52B38D9F}" destId="{8940AB41-06BB-44F7-B38B-947B1D61770E}" srcOrd="0" destOrd="0" parTransId="{809BCDEB-3584-4A87-BCCA-FA0DD983DF30}" sibTransId="{E36E3DF9-D32D-4264-885A-DBADD46118D9}"/>
    <dgm:cxn modelId="{CF58D2E7-E1FF-43E3-886E-233A1FCD3B9A}" srcId="{DC3D488C-A837-4A25-BE03-0BB31810216E}" destId="{A54B5A62-1D76-4145-B5CA-02DDEF371735}" srcOrd="0" destOrd="0" parTransId="{9887F395-379B-4F93-928E-9591293041E7}" sibTransId="{4271172E-CA2E-497C-8D44-AD8CE5D24876}"/>
    <dgm:cxn modelId="{B05E3B2E-A44E-42CA-AE83-84D350CCC602}" srcId="{8940AB41-06BB-44F7-B38B-947B1D61770E}" destId="{4C2017E5-8439-40C3-80C4-0A31FF6D8454}" srcOrd="0" destOrd="0" parTransId="{556028BD-CD53-491D-B83F-0A0AAC075635}" sibTransId="{689BF6EC-73FF-4F09-8F5B-E859BC35964D}"/>
    <dgm:cxn modelId="{EFD14977-B175-4D7F-80D9-9D61F550C093}" type="presOf" srcId="{A54B5A62-1D76-4145-B5CA-02DDEF371735}" destId="{4BC5D42B-7D1C-485F-94DC-DC9216E78E5C}" srcOrd="0" destOrd="0" presId="urn:microsoft.com/office/officeart/2005/8/layout/hList1"/>
    <dgm:cxn modelId="{4AEE8561-AEED-466E-8E7B-D2221631501A}" type="presOf" srcId="{DC3D488C-A837-4A25-BE03-0BB31810216E}" destId="{D33BEF35-C38E-42A4-A859-F3A1D30F06BD}" srcOrd="0" destOrd="0" presId="urn:microsoft.com/office/officeart/2005/8/layout/hList1"/>
    <dgm:cxn modelId="{3122DA42-365C-43FC-9CF7-665DEA11E6AD}" srcId="{1274FFD5-D009-4507-A070-E846F4D2276F}" destId="{CA48BD26-2DE6-4F43-A234-5598B3D3380F}" srcOrd="1" destOrd="0" parTransId="{5F924853-9CAB-413C-8260-76F4529CEEE5}" sibTransId="{7BB49181-DC03-48F7-AFEE-5C0981B31DB4}"/>
    <dgm:cxn modelId="{20FDE1E6-4D8D-40EB-A678-E90181789BBE}" type="presOf" srcId="{02220172-04E4-49F8-A8AE-2BB3198473BD}" destId="{7CB41956-94D8-46E1-B1F3-200B91D47399}" srcOrd="0" destOrd="1" presId="urn:microsoft.com/office/officeart/2005/8/layout/hList1"/>
    <dgm:cxn modelId="{BA0FF6B5-6E11-420D-A664-3283C404CE5E}" srcId="{C9D0E174-97BE-403D-823B-A721511B48F3}" destId="{289B942E-E122-4E56-844E-547DD8AD3E14}" srcOrd="0" destOrd="0" parTransId="{E76FDE97-3EC0-41EA-B8DB-4559427F4673}" sibTransId="{F369A1DC-BA52-41C6-B5D1-A55E317625A2}"/>
    <dgm:cxn modelId="{A77181DC-4436-47DF-AC08-4002F643E9AF}" type="presOf" srcId="{03C15593-8F9F-47E5-BE6A-548D52B38D9F}" destId="{CCAD6199-2C9C-4A8A-9547-F8FBACBAB1CE}" srcOrd="0" destOrd="0" presId="urn:microsoft.com/office/officeart/2005/8/layout/hList1"/>
    <dgm:cxn modelId="{100BDDA4-AA6A-467F-AAB0-323BE5336219}" type="presOf" srcId="{8940AB41-06BB-44F7-B38B-947B1D61770E}" destId="{A455D3A0-3135-4847-8C79-5C0DF4D9D5A1}" srcOrd="0" destOrd="0" presId="urn:microsoft.com/office/officeart/2005/8/layout/hList1"/>
    <dgm:cxn modelId="{9FC1D403-AF51-4A13-BA86-B79911E858F6}" type="presOf" srcId="{1274FFD5-D009-4507-A070-E846F4D2276F}" destId="{2FA82544-5CC4-43B9-8AD9-60B1DD7455B3}" srcOrd="0" destOrd="0" presId="urn:microsoft.com/office/officeart/2005/8/layout/hList1"/>
    <dgm:cxn modelId="{A780DFDC-C76B-41AA-909E-F147404DC03F}" srcId="{C9D0E174-97BE-403D-823B-A721511B48F3}" destId="{0E35FF20-7605-4262-8F53-FF3D64BC30CA}" srcOrd="2" destOrd="0" parTransId="{3AD74732-3CA1-4B1B-A732-8B743F215906}" sibTransId="{408BCC31-55D7-47A4-AC14-5D88FE48C3BF}"/>
    <dgm:cxn modelId="{6B5BCC17-0BC8-4520-B5FB-DAA3DC40234D}" srcId="{1274FFD5-D009-4507-A070-E846F4D2276F}" destId="{C4315C70-85B2-41C6-A42E-691C248094DB}" srcOrd="0" destOrd="0" parTransId="{CE4C93C0-1099-4447-8F16-218E6752D468}" sibTransId="{FAD0DFD0-3F2D-4D83-8835-EEE704367BFA}"/>
    <dgm:cxn modelId="{8A2CD65E-7F0C-4653-973F-749EE7A0913D}" type="presOf" srcId="{C4315C70-85B2-41C6-A42E-691C248094DB}" destId="{D8B2503B-D0BA-47F4-A099-BD1821265F29}" srcOrd="0" destOrd="0" presId="urn:microsoft.com/office/officeart/2005/8/layout/hList1"/>
    <dgm:cxn modelId="{FE88B7CF-10F3-41FE-B275-1E0C5EB338EB}" type="presOf" srcId="{4C2017E5-8439-40C3-80C4-0A31FF6D8454}" destId="{126EA161-1D3B-479F-BF01-6BD735E71312}" srcOrd="0" destOrd="0" presId="urn:microsoft.com/office/officeart/2005/8/layout/hList1"/>
    <dgm:cxn modelId="{292D7FD9-9452-4C5D-A393-B3F65EB198E3}" srcId="{03C15593-8F9F-47E5-BE6A-548D52B38D9F}" destId="{1274FFD5-D009-4507-A070-E846F4D2276F}" srcOrd="1" destOrd="0" parTransId="{CD99A99C-3B06-4E1D-B7EA-5E91ABE3F6F5}" sibTransId="{323A52B9-D2B6-4A39-9FE2-41FF0239A3D1}"/>
    <dgm:cxn modelId="{9F59BDCE-DD49-4834-A70C-3FB7E357571D}" type="presOf" srcId="{BEB090AE-32BF-4C53-9E68-DA906F455036}" destId="{126EA161-1D3B-479F-BF01-6BD735E71312}" srcOrd="0" destOrd="1" presId="urn:microsoft.com/office/officeart/2005/8/layout/hList1"/>
    <dgm:cxn modelId="{95AABE41-9C48-4F3F-A3A2-788A55F511AD}" type="presOf" srcId="{289B942E-E122-4E56-844E-547DD8AD3E14}" destId="{7CB41956-94D8-46E1-B1F3-200B91D47399}" srcOrd="0" destOrd="0" presId="urn:microsoft.com/office/officeart/2005/8/layout/hList1"/>
    <dgm:cxn modelId="{F0CA6C4A-1A8C-47D4-A73F-2A981D8647B9}" type="presOf" srcId="{24FC5C79-63B7-4A45-89EC-8C3D4C6F4411}" destId="{4BC5D42B-7D1C-485F-94DC-DC9216E78E5C}" srcOrd="0" destOrd="1" presId="urn:microsoft.com/office/officeart/2005/8/layout/hList1"/>
    <dgm:cxn modelId="{A20A6E08-6E34-4017-812F-6E974F63A248}" srcId="{DC3D488C-A837-4A25-BE03-0BB31810216E}" destId="{24FC5C79-63B7-4A45-89EC-8C3D4C6F4411}" srcOrd="1" destOrd="0" parTransId="{D864C901-2ED2-4EA4-A0CA-5A919F510999}" sibTransId="{1596E7BD-6A39-4071-A65B-D7273ED81896}"/>
    <dgm:cxn modelId="{1F05B570-FF23-471B-9FE6-181633CBF481}" type="presOf" srcId="{CA48BD26-2DE6-4F43-A234-5598B3D3380F}" destId="{D8B2503B-D0BA-47F4-A099-BD1821265F29}" srcOrd="0" destOrd="1" presId="urn:microsoft.com/office/officeart/2005/8/layout/hList1"/>
    <dgm:cxn modelId="{06EB4C49-FE32-478A-8429-A79FCA1BBD8F}" srcId="{03C15593-8F9F-47E5-BE6A-548D52B38D9F}" destId="{DC3D488C-A837-4A25-BE03-0BB31810216E}" srcOrd="3" destOrd="0" parTransId="{4E00D1BE-7166-4B68-B11E-DDC73697BE06}" sibTransId="{0ED7404A-9F86-49C1-9EF6-86637C0BAEA7}"/>
    <dgm:cxn modelId="{1C32E88D-176B-4E64-95F3-D121DA036F5A}" srcId="{C9D0E174-97BE-403D-823B-A721511B48F3}" destId="{02220172-04E4-49F8-A8AE-2BB3198473BD}" srcOrd="1" destOrd="0" parTransId="{D9DD5FBC-84A9-4B26-9977-17F77706AD94}" sibTransId="{A6044A55-ECBC-488C-8302-D022DDA598A7}"/>
    <dgm:cxn modelId="{644C6B14-FEE7-4431-AA43-B09C52B40431}" srcId="{8940AB41-06BB-44F7-B38B-947B1D61770E}" destId="{BEB090AE-32BF-4C53-9E68-DA906F455036}" srcOrd="1" destOrd="0" parTransId="{8E105F24-D1EB-4E72-9ED9-10353F1DE5A7}" sibTransId="{1E3E2CF5-838B-4F74-A0C2-755F3F46A07C}"/>
    <dgm:cxn modelId="{CB2EFBAE-291A-4530-AE83-65B1A12911CC}" type="presParOf" srcId="{CCAD6199-2C9C-4A8A-9547-F8FBACBAB1CE}" destId="{AE1E6733-FED5-4FA0-99D6-F79A90516EAB}" srcOrd="0" destOrd="0" presId="urn:microsoft.com/office/officeart/2005/8/layout/hList1"/>
    <dgm:cxn modelId="{3CE18EE1-F811-446E-8201-D13D5C501C59}" type="presParOf" srcId="{AE1E6733-FED5-4FA0-99D6-F79A90516EAB}" destId="{A455D3A0-3135-4847-8C79-5C0DF4D9D5A1}" srcOrd="0" destOrd="0" presId="urn:microsoft.com/office/officeart/2005/8/layout/hList1"/>
    <dgm:cxn modelId="{A7D06275-7FB5-4468-87EF-D4D34C3B5909}" type="presParOf" srcId="{AE1E6733-FED5-4FA0-99D6-F79A90516EAB}" destId="{126EA161-1D3B-479F-BF01-6BD735E71312}" srcOrd="1" destOrd="0" presId="urn:microsoft.com/office/officeart/2005/8/layout/hList1"/>
    <dgm:cxn modelId="{A73D176C-5607-4BB8-A342-BD2FD7625FB8}" type="presParOf" srcId="{CCAD6199-2C9C-4A8A-9547-F8FBACBAB1CE}" destId="{9F14AAA7-95B3-4765-BBB8-6302478E4764}" srcOrd="1" destOrd="0" presId="urn:microsoft.com/office/officeart/2005/8/layout/hList1"/>
    <dgm:cxn modelId="{B9E28EC8-73AC-4DD7-B93D-E7A0BB950E27}" type="presParOf" srcId="{CCAD6199-2C9C-4A8A-9547-F8FBACBAB1CE}" destId="{D28EA216-5FA0-4E92-8C26-1B4AD67AE716}" srcOrd="2" destOrd="0" presId="urn:microsoft.com/office/officeart/2005/8/layout/hList1"/>
    <dgm:cxn modelId="{600F6571-187A-4D01-8FE8-72D0C7AF9944}" type="presParOf" srcId="{D28EA216-5FA0-4E92-8C26-1B4AD67AE716}" destId="{2FA82544-5CC4-43B9-8AD9-60B1DD7455B3}" srcOrd="0" destOrd="0" presId="urn:microsoft.com/office/officeart/2005/8/layout/hList1"/>
    <dgm:cxn modelId="{F3FE3B50-0129-456A-9CD4-61BE83710C26}" type="presParOf" srcId="{D28EA216-5FA0-4E92-8C26-1B4AD67AE716}" destId="{D8B2503B-D0BA-47F4-A099-BD1821265F29}" srcOrd="1" destOrd="0" presId="urn:microsoft.com/office/officeart/2005/8/layout/hList1"/>
    <dgm:cxn modelId="{195190C4-19C6-4828-98A2-9587AE6E5624}" type="presParOf" srcId="{CCAD6199-2C9C-4A8A-9547-F8FBACBAB1CE}" destId="{1E88A47E-B294-4A32-9CA9-F71365894BAF}" srcOrd="3" destOrd="0" presId="urn:microsoft.com/office/officeart/2005/8/layout/hList1"/>
    <dgm:cxn modelId="{2012EB9E-B3BD-4BB3-8A3E-84819AF1ADF9}" type="presParOf" srcId="{CCAD6199-2C9C-4A8A-9547-F8FBACBAB1CE}" destId="{B3BF0785-625C-4606-BF1B-18361256941C}" srcOrd="4" destOrd="0" presId="urn:microsoft.com/office/officeart/2005/8/layout/hList1"/>
    <dgm:cxn modelId="{45B028FE-600B-4C17-A258-6CC628ECA132}" type="presParOf" srcId="{B3BF0785-625C-4606-BF1B-18361256941C}" destId="{F3543BD0-A08C-4D82-9B15-D62DC6126E0A}" srcOrd="0" destOrd="0" presId="urn:microsoft.com/office/officeart/2005/8/layout/hList1"/>
    <dgm:cxn modelId="{307CB7BA-636C-4E4D-900E-33D56C1EEE42}" type="presParOf" srcId="{B3BF0785-625C-4606-BF1B-18361256941C}" destId="{7CB41956-94D8-46E1-B1F3-200B91D47399}" srcOrd="1" destOrd="0" presId="urn:microsoft.com/office/officeart/2005/8/layout/hList1"/>
    <dgm:cxn modelId="{0544F77E-D737-4F5B-A851-739C5A3DCE78}" type="presParOf" srcId="{CCAD6199-2C9C-4A8A-9547-F8FBACBAB1CE}" destId="{1309E01D-69D3-42E2-B713-F7EFFEFF0EE1}" srcOrd="5" destOrd="0" presId="urn:microsoft.com/office/officeart/2005/8/layout/hList1"/>
    <dgm:cxn modelId="{AD9BF217-E8F5-4B17-8D88-2551653E2273}" type="presParOf" srcId="{CCAD6199-2C9C-4A8A-9547-F8FBACBAB1CE}" destId="{821E1F39-9B19-4D44-891A-242BFFDBAA2C}" srcOrd="6" destOrd="0" presId="urn:microsoft.com/office/officeart/2005/8/layout/hList1"/>
    <dgm:cxn modelId="{2A511D4D-37A8-44D0-866B-49231E29AE53}" type="presParOf" srcId="{821E1F39-9B19-4D44-891A-242BFFDBAA2C}" destId="{D33BEF35-C38E-42A4-A859-F3A1D30F06BD}" srcOrd="0" destOrd="0" presId="urn:microsoft.com/office/officeart/2005/8/layout/hList1"/>
    <dgm:cxn modelId="{3366C8EB-9AAD-436E-A776-78169E7084C9}" type="presParOf" srcId="{821E1F39-9B19-4D44-891A-242BFFDBAA2C}" destId="{4BC5D42B-7D1C-485F-94DC-DC9216E78E5C}" srcOrd="1" destOrd="0" presId="urn:microsoft.com/office/officeart/2005/8/layout/hLis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55D3A0-3135-4847-8C79-5C0DF4D9D5A1}">
      <dsp:nvSpPr>
        <dsp:cNvPr id="0" name=""/>
        <dsp:cNvSpPr/>
      </dsp:nvSpPr>
      <dsp:spPr>
        <a:xfrm>
          <a:off x="2219" y="45831"/>
          <a:ext cx="1334298" cy="398144"/>
        </a:xfrm>
        <a:prstGeom prst="rect">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n-US" sz="1100" kern="1200"/>
            <a:t>Engagement </a:t>
          </a:r>
        </a:p>
      </dsp:txBody>
      <dsp:txXfrm>
        <a:off x="2219" y="45831"/>
        <a:ext cx="1334298" cy="398144"/>
      </dsp:txXfrm>
    </dsp:sp>
    <dsp:sp modelId="{126EA161-1D3B-479F-BF01-6BD735E71312}">
      <dsp:nvSpPr>
        <dsp:cNvPr id="0" name=""/>
        <dsp:cNvSpPr/>
      </dsp:nvSpPr>
      <dsp:spPr>
        <a:xfrm>
          <a:off x="2219" y="443976"/>
          <a:ext cx="1334298" cy="1125235"/>
        </a:xfrm>
        <a:prstGeom prst="rect">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t>Awareness raising</a:t>
          </a:r>
        </a:p>
        <a:p>
          <a:pPr marL="57150" lvl="1" indent="-57150" algn="l" defTabSz="488950">
            <a:lnSpc>
              <a:spcPct val="90000"/>
            </a:lnSpc>
            <a:spcBef>
              <a:spcPct val="0"/>
            </a:spcBef>
            <a:spcAft>
              <a:spcPct val="15000"/>
            </a:spcAft>
            <a:buChar char="••"/>
          </a:pPr>
          <a:r>
            <a:rPr lang="en-US" sz="1100" kern="1200"/>
            <a:t>Community-based complaints mechanism</a:t>
          </a:r>
        </a:p>
      </dsp:txBody>
      <dsp:txXfrm>
        <a:off x="2219" y="443976"/>
        <a:ext cx="1334298" cy="1125235"/>
      </dsp:txXfrm>
    </dsp:sp>
    <dsp:sp modelId="{2FA82544-5CC4-43B9-8AD9-60B1DD7455B3}">
      <dsp:nvSpPr>
        <dsp:cNvPr id="0" name=""/>
        <dsp:cNvSpPr/>
      </dsp:nvSpPr>
      <dsp:spPr>
        <a:xfrm>
          <a:off x="1523318" y="45831"/>
          <a:ext cx="1334298" cy="398144"/>
        </a:xfrm>
        <a:prstGeom prst="rect">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n-US" sz="1100" kern="1200"/>
            <a:t>Prevention</a:t>
          </a:r>
        </a:p>
      </dsp:txBody>
      <dsp:txXfrm>
        <a:off x="1523318" y="45831"/>
        <a:ext cx="1334298" cy="398144"/>
      </dsp:txXfrm>
    </dsp:sp>
    <dsp:sp modelId="{D8B2503B-D0BA-47F4-A099-BD1821265F29}">
      <dsp:nvSpPr>
        <dsp:cNvPr id="0" name=""/>
        <dsp:cNvSpPr/>
      </dsp:nvSpPr>
      <dsp:spPr>
        <a:xfrm>
          <a:off x="1523318" y="443976"/>
          <a:ext cx="1334298" cy="1125235"/>
        </a:xfrm>
        <a:prstGeom prst="rect">
          <a:avLst/>
        </a:prstGeom>
        <a:solidFill>
          <a:schemeClr val="accent3">
            <a:tint val="40000"/>
            <a:alpha val="90000"/>
            <a:hueOff val="0"/>
            <a:satOff val="0"/>
            <a:lumOff val="0"/>
            <a:alphaOff val="0"/>
          </a:schemeClr>
        </a:solidFill>
        <a:ln w="12700" cap="flat" cmpd="sng" algn="ctr">
          <a:solidFill>
            <a:schemeClr val="accent3">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t>Sample training tools</a:t>
          </a:r>
        </a:p>
        <a:p>
          <a:pPr marL="57150" lvl="1" indent="-57150" algn="l" defTabSz="488950">
            <a:lnSpc>
              <a:spcPct val="90000"/>
            </a:lnSpc>
            <a:spcBef>
              <a:spcPct val="0"/>
            </a:spcBef>
            <a:spcAft>
              <a:spcPct val="15000"/>
            </a:spcAft>
            <a:buChar char="••"/>
          </a:pPr>
          <a:r>
            <a:rPr lang="en-US" sz="1100" kern="1200"/>
            <a:t>Capacity building</a:t>
          </a:r>
        </a:p>
      </dsp:txBody>
      <dsp:txXfrm>
        <a:off x="1523318" y="443976"/>
        <a:ext cx="1334298" cy="1125235"/>
      </dsp:txXfrm>
    </dsp:sp>
    <dsp:sp modelId="{F3543BD0-A08C-4D82-9B15-D62DC6126E0A}">
      <dsp:nvSpPr>
        <dsp:cNvPr id="0" name=""/>
        <dsp:cNvSpPr/>
      </dsp:nvSpPr>
      <dsp:spPr>
        <a:xfrm>
          <a:off x="3044418" y="45831"/>
          <a:ext cx="1334298" cy="398144"/>
        </a:xfrm>
        <a:prstGeom prst="rect">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n-US" sz="1100" kern="1200"/>
            <a:t>Response </a:t>
          </a:r>
        </a:p>
      </dsp:txBody>
      <dsp:txXfrm>
        <a:off x="3044418" y="45831"/>
        <a:ext cx="1334298" cy="398144"/>
      </dsp:txXfrm>
    </dsp:sp>
    <dsp:sp modelId="{7CB41956-94D8-46E1-B1F3-200B91D47399}">
      <dsp:nvSpPr>
        <dsp:cNvPr id="0" name=""/>
        <dsp:cNvSpPr/>
      </dsp:nvSpPr>
      <dsp:spPr>
        <a:xfrm>
          <a:off x="3044418" y="443976"/>
          <a:ext cx="1334298" cy="1125235"/>
        </a:xfrm>
        <a:prstGeom prst="rect">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t>Pool of investigators</a:t>
          </a:r>
        </a:p>
        <a:p>
          <a:pPr marL="57150" lvl="1" indent="-57150" algn="l" defTabSz="488950">
            <a:lnSpc>
              <a:spcPct val="90000"/>
            </a:lnSpc>
            <a:spcBef>
              <a:spcPct val="0"/>
            </a:spcBef>
            <a:spcAft>
              <a:spcPct val="15000"/>
            </a:spcAft>
            <a:buChar char="••"/>
          </a:pPr>
          <a:r>
            <a:rPr lang="en-US" sz="1100" kern="1200"/>
            <a:t>Victim assistance</a:t>
          </a:r>
        </a:p>
        <a:p>
          <a:pPr marL="57150" lvl="1" indent="-57150" algn="l" defTabSz="488950">
            <a:lnSpc>
              <a:spcPct val="90000"/>
            </a:lnSpc>
            <a:spcBef>
              <a:spcPct val="0"/>
            </a:spcBef>
            <a:spcAft>
              <a:spcPct val="15000"/>
            </a:spcAft>
            <a:buChar char="••"/>
          </a:pPr>
          <a:r>
            <a:rPr lang="en-US" sz="1100" kern="1200"/>
            <a:t>Response in line with GBV best practice</a:t>
          </a:r>
        </a:p>
      </dsp:txBody>
      <dsp:txXfrm>
        <a:off x="3044418" y="443976"/>
        <a:ext cx="1334298" cy="1125235"/>
      </dsp:txXfrm>
    </dsp:sp>
    <dsp:sp modelId="{D33BEF35-C38E-42A4-A859-F3A1D30F06BD}">
      <dsp:nvSpPr>
        <dsp:cNvPr id="0" name=""/>
        <dsp:cNvSpPr/>
      </dsp:nvSpPr>
      <dsp:spPr>
        <a:xfrm>
          <a:off x="4565518" y="45831"/>
          <a:ext cx="1334298" cy="398144"/>
        </a:xfrm>
        <a:prstGeom prst="rect">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n-US" sz="1100" kern="1200"/>
            <a:t>Management and Coordination</a:t>
          </a:r>
        </a:p>
      </dsp:txBody>
      <dsp:txXfrm>
        <a:off x="4565518" y="45831"/>
        <a:ext cx="1334298" cy="398144"/>
      </dsp:txXfrm>
    </dsp:sp>
    <dsp:sp modelId="{4BC5D42B-7D1C-485F-94DC-DC9216E78E5C}">
      <dsp:nvSpPr>
        <dsp:cNvPr id="0" name=""/>
        <dsp:cNvSpPr/>
      </dsp:nvSpPr>
      <dsp:spPr>
        <a:xfrm>
          <a:off x="4565518" y="443976"/>
          <a:ext cx="1334298" cy="1125235"/>
        </a:xfrm>
        <a:prstGeom prst="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t>Inter-agency referral mechanism</a:t>
          </a:r>
        </a:p>
        <a:p>
          <a:pPr marL="57150" lvl="1" indent="-57150" algn="l" defTabSz="488950">
            <a:lnSpc>
              <a:spcPct val="90000"/>
            </a:lnSpc>
            <a:spcBef>
              <a:spcPct val="0"/>
            </a:spcBef>
            <a:spcAft>
              <a:spcPct val="15000"/>
            </a:spcAft>
            <a:buChar char="••"/>
          </a:pPr>
          <a:r>
            <a:rPr lang="en-US" sz="1100" kern="1200"/>
            <a:t>Linkages with other local and regional networks</a:t>
          </a:r>
        </a:p>
      </dsp:txBody>
      <dsp:txXfrm>
        <a:off x="4565518" y="443976"/>
        <a:ext cx="1334298" cy="1125235"/>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329788E56B5D4085D2E9776F9F216A" ma:contentTypeVersion="10" ma:contentTypeDescription="Create a new document." ma:contentTypeScope="" ma:versionID="7e1dd54333890d295fc49b7dacd974f1">
  <xsd:schema xmlns:xsd="http://www.w3.org/2001/XMLSchema" xmlns:xs="http://www.w3.org/2001/XMLSchema" xmlns:p="http://schemas.microsoft.com/office/2006/metadata/properties" xmlns:ns2="e899d54f-d3bc-4355-9323-8e338fc7e9d7" xmlns:ns3="a333398c-7e7e-40ff-96ad-b22bfc0f291a" targetNamespace="http://schemas.microsoft.com/office/2006/metadata/properties" ma:root="true" ma:fieldsID="3627b2d08422772fe247eddbbefcef16" ns2:_="" ns3:_="">
    <xsd:import namespace="e899d54f-d3bc-4355-9323-8e338fc7e9d7"/>
    <xsd:import namespace="a333398c-7e7e-40ff-96ad-b22bfc0f29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9d54f-d3bc-4355-9323-8e338fc7e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3398c-7e7e-40ff-96ad-b22bfc0f291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3EF91-9172-4104-A10E-FE70060DD0A7}">
  <ds:schemaRefs>
    <ds:schemaRef ds:uri="http://schemas.microsoft.com/sharepoint/v3/contenttype/forms"/>
  </ds:schemaRefs>
</ds:datastoreItem>
</file>

<file path=customXml/itemProps2.xml><?xml version="1.0" encoding="utf-8"?>
<ds:datastoreItem xmlns:ds="http://schemas.openxmlformats.org/officeDocument/2006/customXml" ds:itemID="{5F1FC452-F7E8-4743-A82D-3327EDB8CA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0ED595-AA38-4401-9E9B-6D1C4920C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9d54f-d3bc-4355-9323-8e338fc7e9d7"/>
    <ds:schemaRef ds:uri="a333398c-7e7e-40ff-96ad-b22bfc0f2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B385C-EC97-4EA3-8A1B-425E3593A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 Yong</dc:creator>
  <cp:keywords/>
  <dc:description/>
  <cp:lastModifiedBy>Lian Yong</cp:lastModifiedBy>
  <cp:revision>4</cp:revision>
  <cp:lastPrinted>2019-08-29T06:41:00Z</cp:lastPrinted>
  <dcterms:created xsi:type="dcterms:W3CDTF">2019-11-29T11:13:00Z</dcterms:created>
  <dcterms:modified xsi:type="dcterms:W3CDTF">2019-12-02T04:18:00Z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0x010100A4329788E56B5D4085D2E9776F9F216A</vt:lpwstr>
  </property>
</Properties>
</file>