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2544192B" w:rsidR="003016F5" w:rsidRDefault="00E402A7" w:rsidP="00D4496C">
      <w:pPr>
        <w:pStyle w:val="Heading1"/>
      </w:pPr>
      <w:r w:rsidRPr="00E402A7">
        <w:t>CHECKLIST FOR SETTING UP AN INTER-AGENCY PSEA-CBCM</w:t>
      </w:r>
    </w:p>
    <w:p w14:paraId="38F86D54" w14:textId="33CFB122" w:rsidR="00672719" w:rsidRPr="00672719" w:rsidRDefault="00672719" w:rsidP="00672719">
      <w:p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672719">
        <w:rPr>
          <w:rFonts w:asciiTheme="majorHAnsi" w:eastAsia="Times New Roman" w:hAnsiTheme="majorHAnsi" w:cstheme="majorHAnsi"/>
          <w:lang w:eastAsia="en-GB"/>
        </w:rPr>
        <w:t xml:space="preserve">This checklist </w:t>
      </w:r>
      <w:r w:rsidR="00E402A7">
        <w:rPr>
          <w:rFonts w:asciiTheme="majorHAnsi" w:eastAsia="Times New Roman" w:hAnsiTheme="majorHAnsi" w:cstheme="majorHAnsi"/>
          <w:lang w:eastAsia="en-GB"/>
        </w:rPr>
        <w:t xml:space="preserve">is </w:t>
      </w:r>
      <w:r w:rsidR="00A72063">
        <w:rPr>
          <w:rFonts w:asciiTheme="majorHAnsi" w:eastAsia="Times New Roman" w:hAnsiTheme="majorHAnsi" w:cstheme="majorHAnsi"/>
          <w:lang w:eastAsia="en-GB"/>
        </w:rPr>
        <w:t>an adaptation</w:t>
      </w:r>
      <w:r w:rsidR="00E402A7">
        <w:rPr>
          <w:rFonts w:asciiTheme="majorHAnsi" w:eastAsia="Times New Roman" w:hAnsiTheme="majorHAnsi" w:cstheme="majorHAnsi"/>
          <w:lang w:eastAsia="en-GB"/>
        </w:rPr>
        <w:t xml:space="preserve"> from the </w:t>
      </w:r>
      <w:hyperlink r:id="rId13" w:history="1">
        <w:r w:rsidR="00E509D4" w:rsidRPr="006A2D8C">
          <w:rPr>
            <w:rStyle w:val="Hyperlink"/>
            <w:rFonts w:asciiTheme="majorHAnsi" w:eastAsia="Times New Roman" w:hAnsiTheme="majorHAnsi" w:cstheme="majorHAnsi"/>
            <w:lang w:eastAsia="en-GB"/>
          </w:rPr>
          <w:t xml:space="preserve">Best Practice Guide </w:t>
        </w:r>
        <w:r w:rsidR="00816A9A" w:rsidRPr="006A2D8C">
          <w:rPr>
            <w:rStyle w:val="Hyperlink"/>
            <w:rFonts w:asciiTheme="majorHAnsi" w:eastAsia="Times New Roman" w:hAnsiTheme="majorHAnsi" w:cstheme="majorHAnsi"/>
            <w:lang w:eastAsia="en-GB"/>
          </w:rPr>
          <w:t xml:space="preserve">– Inter-Agency Community Based Complaint Mechanisms </w:t>
        </w:r>
      </w:hyperlink>
      <w:r w:rsidR="002D00F8">
        <w:rPr>
          <w:rFonts w:asciiTheme="majorHAnsi" w:eastAsia="Times New Roman" w:hAnsiTheme="majorHAnsi" w:cstheme="majorHAnsi"/>
          <w:lang w:eastAsia="en-GB"/>
        </w:rPr>
        <w:t xml:space="preserve"> and </w:t>
      </w:r>
      <w:r w:rsidRPr="00672719">
        <w:rPr>
          <w:rFonts w:asciiTheme="majorHAnsi" w:eastAsia="Times New Roman" w:hAnsiTheme="majorHAnsi" w:cstheme="majorHAnsi"/>
          <w:lang w:eastAsia="en-GB"/>
        </w:rPr>
        <w:t>can be used to make sure that all the necessary steps are covered when setting up an inter-agency community-based complaint mechanism for protection from sexual exploitation and abuse. It is not a timeline. Many steps will continually overlap throughout the life of the mechanism.</w:t>
      </w:r>
    </w:p>
    <w:p w14:paraId="2D86F760" w14:textId="6924ECC1" w:rsidR="00672719" w:rsidRPr="00672719" w:rsidRDefault="00633974" w:rsidP="002D00F8">
      <w:pPr>
        <w:pStyle w:val="Heading2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planning</w:t>
      </w:r>
    </w:p>
    <w:p w14:paraId="1319E531" w14:textId="35A3F512" w:rsidR="00633974" w:rsidRDefault="00183A32" w:rsidP="00616E0E">
      <w:pPr>
        <w:pStyle w:val="ListParagraph"/>
        <w:numPr>
          <w:ilvl w:val="0"/>
          <w:numId w:val="20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616E0E">
        <w:rPr>
          <w:rFonts w:asciiTheme="majorHAnsi" w:eastAsia="Times New Roman" w:hAnsiTheme="majorHAnsi" w:cstheme="majorHAnsi"/>
          <w:lang w:eastAsia="en-GB"/>
        </w:rPr>
        <w:t>Conduct a Situation Analysis (this applies to all CBCMs, even if the mechanism has been already built and is being revised)</w:t>
      </w:r>
      <w:r w:rsidR="00616E0E">
        <w:rPr>
          <w:rFonts w:asciiTheme="majorHAnsi" w:eastAsia="Times New Roman" w:hAnsiTheme="majorHAnsi" w:cstheme="majorHAnsi"/>
          <w:lang w:eastAsia="en-GB"/>
        </w:rPr>
        <w:t>:</w:t>
      </w:r>
    </w:p>
    <w:p w14:paraId="6DFD96AB" w14:textId="01992554" w:rsidR="00616E0E" w:rsidRDefault="00616E0E" w:rsidP="00616E0E">
      <w:pPr>
        <w:pStyle w:val="ListParagraph"/>
        <w:numPr>
          <w:ilvl w:val="1"/>
          <w:numId w:val="20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>Conduct a desk review and collect all available information</w:t>
      </w:r>
    </w:p>
    <w:p w14:paraId="6B39C242" w14:textId="674E2AD8" w:rsidR="00616E0E" w:rsidRDefault="00616E0E" w:rsidP="00616E0E">
      <w:pPr>
        <w:pStyle w:val="ListParagraph"/>
        <w:numPr>
          <w:ilvl w:val="1"/>
          <w:numId w:val="20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>Map stakeholders and community structures</w:t>
      </w:r>
    </w:p>
    <w:p w14:paraId="6510AE53" w14:textId="7850C65D" w:rsidR="00633974" w:rsidRDefault="000014B8" w:rsidP="00672719">
      <w:pPr>
        <w:pStyle w:val="ListParagraph"/>
        <w:numPr>
          <w:ilvl w:val="1"/>
          <w:numId w:val="20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 xml:space="preserve">Conduct an assessment </w:t>
      </w:r>
    </w:p>
    <w:p w14:paraId="4DD6C7F5" w14:textId="77777777" w:rsidR="000014B8" w:rsidRPr="000014B8" w:rsidRDefault="000014B8" w:rsidP="000014B8">
      <w:pPr>
        <w:pStyle w:val="ListParagraph"/>
        <w:spacing w:after="0"/>
        <w:ind w:left="1440"/>
        <w:jc w:val="both"/>
        <w:rPr>
          <w:rFonts w:asciiTheme="majorHAnsi" w:eastAsia="Times New Roman" w:hAnsiTheme="majorHAnsi" w:cstheme="majorHAnsi"/>
          <w:lang w:eastAsia="en-GB"/>
        </w:rPr>
      </w:pPr>
    </w:p>
    <w:p w14:paraId="2DCCD8C5" w14:textId="637A475D" w:rsidR="00672719" w:rsidRPr="000014B8" w:rsidRDefault="00672719" w:rsidP="000014B8">
      <w:pPr>
        <w:pStyle w:val="ListParagraph"/>
        <w:numPr>
          <w:ilvl w:val="0"/>
          <w:numId w:val="20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0014B8">
        <w:rPr>
          <w:rFonts w:asciiTheme="majorHAnsi" w:eastAsia="Times New Roman" w:hAnsiTheme="majorHAnsi" w:cstheme="majorHAnsi"/>
          <w:lang w:eastAsia="en-GB"/>
        </w:rPr>
        <w:t>Secure early participation of, and regularly consult with:</w:t>
      </w:r>
    </w:p>
    <w:p w14:paraId="0789B49F" w14:textId="4552E3DF" w:rsidR="006A2D8C" w:rsidRDefault="006A2D8C" w:rsidP="006A2D8C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The affected community</w:t>
      </w:r>
      <w:r>
        <w:rPr>
          <w:rFonts w:asciiTheme="majorHAnsi" w:eastAsia="Times New Roman" w:hAnsiTheme="majorHAnsi" w:cstheme="majorHAnsi"/>
          <w:lang w:eastAsia="en-GB"/>
        </w:rPr>
        <w:t xml:space="preserve"> (including the host community);</w:t>
      </w:r>
    </w:p>
    <w:p w14:paraId="58269031" w14:textId="77777777" w:rsidR="004E32A3" w:rsidRPr="00E509D4" w:rsidRDefault="004E32A3" w:rsidP="004E32A3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National NGOs, CBOs, and Community Structures;</w:t>
      </w:r>
    </w:p>
    <w:p w14:paraId="17FCCBE3" w14:textId="6F699710" w:rsidR="004E32A3" w:rsidRPr="004E32A3" w:rsidRDefault="004E32A3" w:rsidP="004E32A3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The host government(s);</w:t>
      </w:r>
    </w:p>
    <w:p w14:paraId="26A4CE91" w14:textId="1B5784AE" w:rsidR="00672719" w:rsidRPr="00E509D4" w:rsidRDefault="00672719" w:rsidP="00E509D4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The Humanitarian Coordinator;</w:t>
      </w:r>
    </w:p>
    <w:p w14:paraId="73FF9A85" w14:textId="7BE8878C" w:rsidR="005851DD" w:rsidRDefault="00672719" w:rsidP="005851DD">
      <w:pPr>
        <w:pStyle w:val="ListParagraph"/>
        <w:numPr>
          <w:ilvl w:val="0"/>
          <w:numId w:val="13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Humanitarian agencies providing aid on site, e.g. Humanitarian Country Teams;</w:t>
      </w:r>
    </w:p>
    <w:p w14:paraId="22A4F8A7" w14:textId="77777777" w:rsidR="005851DD" w:rsidRPr="005851DD" w:rsidRDefault="005851DD" w:rsidP="005851DD">
      <w:pPr>
        <w:pStyle w:val="ListParagraph"/>
        <w:spacing w:after="0"/>
        <w:ind w:left="1440"/>
        <w:jc w:val="both"/>
        <w:rPr>
          <w:rFonts w:asciiTheme="majorHAnsi" w:eastAsia="Times New Roman" w:hAnsiTheme="majorHAnsi" w:cstheme="majorHAnsi"/>
          <w:lang w:eastAsia="en-GB"/>
        </w:rPr>
      </w:pPr>
    </w:p>
    <w:p w14:paraId="6E67FF2C" w14:textId="77777777" w:rsidR="00672719" w:rsidRPr="00672719" w:rsidRDefault="00672719" w:rsidP="002D00F8">
      <w:pPr>
        <w:pStyle w:val="Heading2"/>
        <w:rPr>
          <w:rFonts w:eastAsia="Times New Roman"/>
          <w:lang w:eastAsia="en-GB"/>
        </w:rPr>
      </w:pPr>
      <w:r w:rsidRPr="00672719">
        <w:rPr>
          <w:rFonts w:eastAsia="Times New Roman"/>
          <w:lang w:eastAsia="en-GB"/>
        </w:rPr>
        <w:t>Design and implement the CBCM</w:t>
      </w:r>
    </w:p>
    <w:p w14:paraId="26B53C03" w14:textId="16BB3DD8" w:rsidR="00672719" w:rsidRPr="00672719" w:rsidRDefault="00672719" w:rsidP="00672719">
      <w:p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672719">
        <w:rPr>
          <w:rFonts w:asciiTheme="majorHAnsi" w:eastAsia="Times New Roman" w:hAnsiTheme="majorHAnsi" w:cstheme="majorHAnsi"/>
          <w:lang w:eastAsia="en-GB"/>
        </w:rPr>
        <w:t xml:space="preserve">The process of creating the CBCM </w:t>
      </w:r>
      <w:r w:rsidR="00EB05A7">
        <w:rPr>
          <w:rFonts w:asciiTheme="majorHAnsi" w:eastAsia="Times New Roman" w:hAnsiTheme="majorHAnsi" w:cstheme="majorHAnsi"/>
          <w:lang w:eastAsia="en-GB"/>
        </w:rPr>
        <w:t>i</w:t>
      </w:r>
      <w:r w:rsidRPr="00672719">
        <w:rPr>
          <w:rFonts w:asciiTheme="majorHAnsi" w:eastAsia="Times New Roman" w:hAnsiTheme="majorHAnsi" w:cstheme="majorHAnsi"/>
          <w:lang w:eastAsia="en-GB"/>
        </w:rPr>
        <w:t>s collaborative with all the key actors, and t</w:t>
      </w:r>
      <w:r w:rsidR="00EB05A7">
        <w:rPr>
          <w:rFonts w:asciiTheme="majorHAnsi" w:eastAsia="Times New Roman" w:hAnsiTheme="majorHAnsi" w:cstheme="majorHAnsi"/>
          <w:lang w:eastAsia="en-GB"/>
        </w:rPr>
        <w:t>akes</w:t>
      </w:r>
      <w:r w:rsidRPr="00672719">
        <w:rPr>
          <w:rFonts w:asciiTheme="majorHAnsi" w:eastAsia="Times New Roman" w:hAnsiTheme="majorHAnsi" w:cstheme="majorHAnsi"/>
          <w:lang w:eastAsia="en-GB"/>
        </w:rPr>
        <w:t xml:space="preserve"> into account the following considerations:</w:t>
      </w:r>
    </w:p>
    <w:p w14:paraId="11CC10D7" w14:textId="557CFABA" w:rsidR="00672719" w:rsidRPr="00E509D4" w:rsidRDefault="00672719" w:rsidP="00E509D4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Setting up the organizational structure took into account local culture, linked to pre- existing mechanisms, and followed the principles governing an effective complaints mechanism</w:t>
      </w:r>
      <w:r w:rsidR="00FD48E8">
        <w:rPr>
          <w:rFonts w:asciiTheme="majorHAnsi" w:eastAsia="Times New Roman" w:hAnsiTheme="majorHAnsi" w:cstheme="majorHAnsi"/>
          <w:lang w:eastAsia="en-GB"/>
        </w:rPr>
        <w:t>, including community engagement and participation;</w:t>
      </w:r>
    </w:p>
    <w:p w14:paraId="5CAEC219" w14:textId="412A6A1B" w:rsidR="00672719" w:rsidRPr="00E509D4" w:rsidRDefault="00672719" w:rsidP="00E509D4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Writing the procedures that govern the mechanism (“CBCM SOPs”) was a collaborative process among all participating agencies</w:t>
      </w:r>
      <w:r w:rsidR="00FD48E8">
        <w:rPr>
          <w:rFonts w:asciiTheme="majorHAnsi" w:eastAsia="Times New Roman" w:hAnsiTheme="majorHAnsi" w:cstheme="majorHAnsi"/>
          <w:lang w:eastAsia="en-GB"/>
        </w:rPr>
        <w:t>, included affected communities,</w:t>
      </w:r>
      <w:r w:rsidRPr="00E509D4">
        <w:rPr>
          <w:rFonts w:asciiTheme="majorHAnsi" w:eastAsia="Times New Roman" w:hAnsiTheme="majorHAnsi" w:cstheme="majorHAnsi"/>
          <w:lang w:eastAsia="en-GB"/>
        </w:rPr>
        <w:t xml:space="preserve"> and was based on the Global Standard Operating Procedures on inter-agency cooperation in CBCMs so that they align with agency policies.</w:t>
      </w:r>
    </w:p>
    <w:p w14:paraId="3759298D" w14:textId="36F149DC" w:rsidR="00672719" w:rsidRPr="00E509D4" w:rsidRDefault="00672719" w:rsidP="00E509D4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Deciding</w:t>
      </w:r>
      <w:r w:rsidR="00376A65">
        <w:rPr>
          <w:rFonts w:asciiTheme="majorHAnsi" w:eastAsia="Times New Roman" w:hAnsiTheme="majorHAnsi" w:cstheme="majorHAnsi"/>
          <w:lang w:eastAsia="en-GB"/>
        </w:rPr>
        <w:t>, in collaboration with communities,</w:t>
      </w:r>
      <w:r w:rsidRPr="00E509D4">
        <w:rPr>
          <w:rFonts w:asciiTheme="majorHAnsi" w:eastAsia="Times New Roman" w:hAnsiTheme="majorHAnsi" w:cstheme="majorHAnsi"/>
          <w:lang w:eastAsia="en-GB"/>
        </w:rPr>
        <w:t xml:space="preserve"> whether the CBCM is designed to handle a range of different types of complaints, or only handle SEA complaints</w:t>
      </w:r>
      <w:r w:rsidR="00642309">
        <w:rPr>
          <w:rFonts w:asciiTheme="majorHAnsi" w:eastAsia="Times New Roman" w:hAnsiTheme="majorHAnsi" w:cstheme="majorHAnsi"/>
          <w:lang w:eastAsia="en-GB"/>
        </w:rPr>
        <w:t>, considering the stand-alone PSEA mechanisms can increase stigma</w:t>
      </w:r>
      <w:r w:rsidR="003B7185">
        <w:rPr>
          <w:rFonts w:asciiTheme="majorHAnsi" w:eastAsia="Times New Roman" w:hAnsiTheme="majorHAnsi" w:cstheme="majorHAnsi"/>
          <w:lang w:eastAsia="en-GB"/>
        </w:rPr>
        <w:t>.</w:t>
      </w:r>
    </w:p>
    <w:p w14:paraId="729BD259" w14:textId="65697482" w:rsidR="00672719" w:rsidRPr="00E509D4" w:rsidRDefault="00672719" w:rsidP="00E509D4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 xml:space="preserve">Creating reporting channels that </w:t>
      </w:r>
      <w:r w:rsidR="00376A65">
        <w:rPr>
          <w:rFonts w:asciiTheme="majorHAnsi" w:eastAsia="Times New Roman" w:hAnsiTheme="majorHAnsi" w:cstheme="majorHAnsi"/>
          <w:lang w:eastAsia="en-GB"/>
        </w:rPr>
        <w:t xml:space="preserve">are built as much as possible on existing community structures, and that </w:t>
      </w:r>
      <w:r w:rsidRPr="00E509D4">
        <w:rPr>
          <w:rFonts w:asciiTheme="majorHAnsi" w:eastAsia="Times New Roman" w:hAnsiTheme="majorHAnsi" w:cstheme="majorHAnsi"/>
          <w:lang w:eastAsia="en-GB"/>
        </w:rPr>
        <w:t>meet the needs of the whole community</w:t>
      </w:r>
      <w:r w:rsidR="003B7185">
        <w:rPr>
          <w:rFonts w:asciiTheme="majorHAnsi" w:eastAsia="Times New Roman" w:hAnsiTheme="majorHAnsi" w:cstheme="majorHAnsi"/>
          <w:lang w:eastAsia="en-GB"/>
        </w:rPr>
        <w:t xml:space="preserve">, including persons with disabilities, and children. </w:t>
      </w:r>
    </w:p>
    <w:p w14:paraId="5EE18F26" w14:textId="292F9DB1" w:rsidR="00672719" w:rsidRPr="00E509D4" w:rsidRDefault="00672719" w:rsidP="00E509D4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Having documented and transparent processes for receiving and reviewing SEA allegations</w:t>
      </w:r>
      <w:r w:rsidR="003B7185">
        <w:rPr>
          <w:rFonts w:asciiTheme="majorHAnsi" w:eastAsia="Times New Roman" w:hAnsiTheme="majorHAnsi" w:cstheme="majorHAnsi"/>
          <w:lang w:eastAsia="en-GB"/>
        </w:rPr>
        <w:t>, and that process is consistently and clearly communicated to communities</w:t>
      </w:r>
      <w:r w:rsidR="00376A65">
        <w:rPr>
          <w:rFonts w:asciiTheme="majorHAnsi" w:eastAsia="Times New Roman" w:hAnsiTheme="majorHAnsi" w:cstheme="majorHAnsi"/>
          <w:lang w:eastAsia="en-GB"/>
        </w:rPr>
        <w:t xml:space="preserve"> and discussed with them</w:t>
      </w:r>
      <w:r w:rsidR="003B7185">
        <w:rPr>
          <w:rFonts w:asciiTheme="majorHAnsi" w:eastAsia="Times New Roman" w:hAnsiTheme="majorHAnsi" w:cstheme="majorHAnsi"/>
          <w:lang w:eastAsia="en-GB"/>
        </w:rPr>
        <w:t>.</w:t>
      </w:r>
    </w:p>
    <w:p w14:paraId="0E3D9786" w14:textId="7570FB05" w:rsidR="00672719" w:rsidRPr="00E509D4" w:rsidRDefault="00672719" w:rsidP="00E509D4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Having agreed-upon protocols</w:t>
      </w:r>
      <w:r w:rsidR="00B122C0">
        <w:rPr>
          <w:rFonts w:asciiTheme="majorHAnsi" w:eastAsia="Times New Roman" w:hAnsiTheme="majorHAnsi" w:cstheme="majorHAnsi"/>
          <w:lang w:eastAsia="en-GB"/>
        </w:rPr>
        <w:t>, created in collaboration with the community,</w:t>
      </w:r>
      <w:r w:rsidRPr="00E509D4">
        <w:rPr>
          <w:rFonts w:asciiTheme="majorHAnsi" w:eastAsia="Times New Roman" w:hAnsiTheme="majorHAnsi" w:cstheme="majorHAnsi"/>
          <w:lang w:eastAsia="en-GB"/>
        </w:rPr>
        <w:t xml:space="preserve"> for referring SEA allegations to the concerned agency for potential investigation and follow-up, including feedback, as well as methods to transfer non-SEA complaints to the relevant agency/Cluster.</w:t>
      </w:r>
    </w:p>
    <w:p w14:paraId="70A8F9D7" w14:textId="4A6B8448" w:rsidR="00672719" w:rsidRPr="00E509D4" w:rsidRDefault="00672719" w:rsidP="00672719">
      <w:pPr>
        <w:pStyle w:val="ListParagraph"/>
        <w:numPr>
          <w:ilvl w:val="0"/>
          <w:numId w:val="14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Taking steps to ensure that the mechanism is sustainable</w:t>
      </w:r>
      <w:r w:rsidR="003B7185">
        <w:rPr>
          <w:rFonts w:asciiTheme="majorHAnsi" w:eastAsia="Times New Roman" w:hAnsiTheme="majorHAnsi" w:cstheme="majorHAnsi"/>
          <w:lang w:eastAsia="en-GB"/>
        </w:rPr>
        <w:t xml:space="preserve"> and engages communities from the onset</w:t>
      </w:r>
    </w:p>
    <w:p w14:paraId="1D8595C9" w14:textId="032B1572" w:rsidR="00672719" w:rsidRPr="00672719" w:rsidRDefault="00672719" w:rsidP="00E509D4">
      <w:pPr>
        <w:pStyle w:val="Heading2"/>
        <w:rPr>
          <w:rFonts w:eastAsia="Times New Roman"/>
          <w:lang w:eastAsia="en-GB"/>
        </w:rPr>
      </w:pPr>
      <w:r w:rsidRPr="00672719">
        <w:rPr>
          <w:rFonts w:eastAsia="Times New Roman"/>
          <w:lang w:eastAsia="en-GB"/>
        </w:rPr>
        <w:lastRenderedPageBreak/>
        <w:t>Awareness-raising</w:t>
      </w:r>
      <w:r w:rsidR="00CB2B63">
        <w:rPr>
          <w:rFonts w:eastAsia="Times New Roman"/>
          <w:lang w:eastAsia="en-GB"/>
        </w:rPr>
        <w:t xml:space="preserve"> and two-way communication</w:t>
      </w:r>
    </w:p>
    <w:p w14:paraId="2C19D419" w14:textId="4268145E" w:rsidR="00DB4711" w:rsidRDefault="008A6E3A" w:rsidP="00BE3CA1">
      <w:pPr>
        <w:pStyle w:val="ListParagraph"/>
        <w:numPr>
          <w:ilvl w:val="0"/>
          <w:numId w:val="17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DB4711">
        <w:rPr>
          <w:rFonts w:asciiTheme="majorHAnsi" w:eastAsia="Times New Roman" w:hAnsiTheme="majorHAnsi" w:cstheme="majorHAnsi"/>
          <w:lang w:eastAsia="en-GB"/>
        </w:rPr>
        <w:t xml:space="preserve">Awareness raising activities are designed in collaboration with the community, to be </w:t>
      </w:r>
      <w:r w:rsidR="00DB4711" w:rsidRPr="00CB2B63">
        <w:rPr>
          <w:rFonts w:asciiTheme="majorHAnsi" w:eastAsia="Times New Roman" w:hAnsiTheme="majorHAnsi" w:cstheme="majorHAnsi"/>
          <w:lang w:eastAsia="en-GB"/>
        </w:rPr>
        <w:t>culturally appropriate, in the right language and reach all sectors of the population</w:t>
      </w:r>
      <w:r w:rsidR="00DB4711">
        <w:rPr>
          <w:rFonts w:asciiTheme="majorHAnsi" w:eastAsia="Times New Roman" w:hAnsiTheme="majorHAnsi" w:cstheme="majorHAnsi"/>
          <w:lang w:eastAsia="en-GB"/>
        </w:rPr>
        <w:t>;</w:t>
      </w:r>
    </w:p>
    <w:p w14:paraId="28CFF598" w14:textId="55B56CC0" w:rsidR="00672719" w:rsidRPr="00DB4711" w:rsidRDefault="00672719" w:rsidP="00BE3CA1">
      <w:pPr>
        <w:pStyle w:val="ListParagraph"/>
        <w:numPr>
          <w:ilvl w:val="0"/>
          <w:numId w:val="17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DB4711">
        <w:rPr>
          <w:rFonts w:asciiTheme="majorHAnsi" w:eastAsia="Times New Roman" w:hAnsiTheme="majorHAnsi" w:cstheme="majorHAnsi"/>
          <w:lang w:eastAsia="en-GB"/>
        </w:rPr>
        <w:t xml:space="preserve">Educational activities on PSEA and the CBCM reflect the policies of all participating agencies, </w:t>
      </w:r>
      <w:r w:rsidR="00405B7D" w:rsidRPr="00DB4711">
        <w:rPr>
          <w:rFonts w:asciiTheme="majorHAnsi" w:eastAsia="Times New Roman" w:hAnsiTheme="majorHAnsi" w:cstheme="majorHAnsi"/>
          <w:lang w:eastAsia="en-GB"/>
        </w:rPr>
        <w:t xml:space="preserve">and the needs of the community, </w:t>
      </w:r>
      <w:r w:rsidRPr="00DB4711">
        <w:rPr>
          <w:rFonts w:asciiTheme="majorHAnsi" w:eastAsia="Times New Roman" w:hAnsiTheme="majorHAnsi" w:cstheme="majorHAnsi"/>
          <w:lang w:eastAsia="en-GB"/>
        </w:rPr>
        <w:t xml:space="preserve">and promote </w:t>
      </w:r>
      <w:r w:rsidR="0046545F" w:rsidRPr="00DB4711">
        <w:rPr>
          <w:rFonts w:asciiTheme="majorHAnsi" w:eastAsia="Times New Roman" w:hAnsiTheme="majorHAnsi" w:cstheme="majorHAnsi"/>
          <w:lang w:eastAsia="en-GB"/>
        </w:rPr>
        <w:t>behavior</w:t>
      </w:r>
      <w:r w:rsidRPr="00DB4711">
        <w:rPr>
          <w:rFonts w:asciiTheme="majorHAnsi" w:eastAsia="Times New Roman" w:hAnsiTheme="majorHAnsi" w:cstheme="majorHAnsi"/>
          <w:lang w:eastAsia="en-GB"/>
        </w:rPr>
        <w:t xml:space="preserve"> change and capacity-building both for:</w:t>
      </w:r>
    </w:p>
    <w:p w14:paraId="4D0D9D30" w14:textId="3120AA16" w:rsidR="00672719" w:rsidRPr="00CB2B63" w:rsidRDefault="00672719" w:rsidP="00E509D4">
      <w:pPr>
        <w:pStyle w:val="ListParagraph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 w:cstheme="majorHAnsi"/>
          <w:sz w:val="18"/>
          <w:szCs w:val="18"/>
          <w:lang w:eastAsia="en-GB"/>
        </w:rPr>
      </w:pPr>
      <w:r w:rsidRPr="00CB2B63">
        <w:rPr>
          <w:rFonts w:asciiTheme="majorHAnsi" w:eastAsia="Times New Roman" w:hAnsiTheme="majorHAnsi" w:cstheme="majorHAnsi"/>
          <w:sz w:val="18"/>
          <w:szCs w:val="18"/>
          <w:lang w:eastAsia="en-GB"/>
        </w:rPr>
        <w:t>Staff, including all humanitarian staff and with specially targeted trainings for Managers, CBCM Focal Points, Key Cluster Leads and Implementing Partners;</w:t>
      </w:r>
    </w:p>
    <w:p w14:paraId="1E541388" w14:textId="26E26A57" w:rsidR="00672719" w:rsidRPr="00CB2B63" w:rsidRDefault="00672719" w:rsidP="00E509D4">
      <w:pPr>
        <w:pStyle w:val="ListParagraph"/>
        <w:numPr>
          <w:ilvl w:val="0"/>
          <w:numId w:val="15"/>
        </w:numPr>
        <w:spacing w:after="0"/>
        <w:jc w:val="both"/>
        <w:rPr>
          <w:rFonts w:asciiTheme="majorHAnsi" w:eastAsia="Times New Roman" w:hAnsiTheme="majorHAnsi" w:cstheme="majorHAnsi"/>
          <w:sz w:val="18"/>
          <w:szCs w:val="18"/>
          <w:lang w:eastAsia="en-GB"/>
        </w:rPr>
      </w:pPr>
      <w:r w:rsidRPr="00CB2B63">
        <w:rPr>
          <w:rFonts w:asciiTheme="majorHAnsi" w:eastAsia="Times New Roman" w:hAnsiTheme="majorHAnsi" w:cstheme="majorHAnsi"/>
          <w:sz w:val="18"/>
          <w:szCs w:val="18"/>
          <w:lang w:eastAsia="en-GB"/>
        </w:rPr>
        <w:t>Affected communities</w:t>
      </w:r>
      <w:r w:rsidR="0046545F" w:rsidRPr="00CB2B63">
        <w:rPr>
          <w:rFonts w:asciiTheme="majorHAnsi" w:eastAsia="Times New Roman" w:hAnsiTheme="majorHAnsi" w:cstheme="majorHAnsi"/>
          <w:sz w:val="18"/>
          <w:szCs w:val="18"/>
          <w:lang w:eastAsia="en-GB"/>
        </w:rPr>
        <w:t xml:space="preserve"> (including host communities);</w:t>
      </w:r>
    </w:p>
    <w:p w14:paraId="1A7DFAC3" w14:textId="2DE22959" w:rsidR="00672719" w:rsidRDefault="002C371F" w:rsidP="00CB2B63">
      <w:pPr>
        <w:pStyle w:val="ListParagraph"/>
        <w:numPr>
          <w:ilvl w:val="0"/>
          <w:numId w:val="18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CB2B63">
        <w:rPr>
          <w:rFonts w:asciiTheme="majorHAnsi" w:eastAsia="Times New Roman" w:hAnsiTheme="majorHAnsi" w:cstheme="majorHAnsi"/>
          <w:lang w:eastAsia="en-GB"/>
        </w:rPr>
        <w:t xml:space="preserve">Educational activities on PSEA and CBCM are embedded and connected to sector specific PSEA </w:t>
      </w:r>
      <w:r w:rsidR="00013AF9">
        <w:rPr>
          <w:rFonts w:asciiTheme="majorHAnsi" w:eastAsia="Times New Roman" w:hAnsiTheme="majorHAnsi" w:cstheme="majorHAnsi"/>
          <w:lang w:eastAsia="en-GB"/>
        </w:rPr>
        <w:t>e</w:t>
      </w:r>
      <w:r w:rsidRPr="00CB2B63">
        <w:rPr>
          <w:rFonts w:asciiTheme="majorHAnsi" w:eastAsia="Times New Roman" w:hAnsiTheme="majorHAnsi" w:cstheme="majorHAnsi"/>
          <w:lang w:eastAsia="en-GB"/>
        </w:rPr>
        <w:t>ducational activities and GBV</w:t>
      </w:r>
      <w:r w:rsidR="00013AF9">
        <w:rPr>
          <w:rFonts w:asciiTheme="majorHAnsi" w:eastAsia="Times New Roman" w:hAnsiTheme="majorHAnsi" w:cstheme="majorHAnsi"/>
          <w:lang w:eastAsia="en-GB"/>
        </w:rPr>
        <w:t>;</w:t>
      </w:r>
    </w:p>
    <w:p w14:paraId="302D0DD8" w14:textId="57CBA1EA" w:rsidR="001A245B" w:rsidRDefault="001A245B" w:rsidP="00CB2B63">
      <w:pPr>
        <w:pStyle w:val="ListParagraph"/>
        <w:numPr>
          <w:ilvl w:val="0"/>
          <w:numId w:val="18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>Systems are in place to effectively engage communities, on a regular base, in discussing the CBCM and PSEA;</w:t>
      </w:r>
    </w:p>
    <w:p w14:paraId="28A118F9" w14:textId="5635DDB1" w:rsidR="001A245B" w:rsidRDefault="001A245B" w:rsidP="00CB2B63">
      <w:pPr>
        <w:pStyle w:val="ListParagraph"/>
        <w:numPr>
          <w:ilvl w:val="0"/>
          <w:numId w:val="18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 xml:space="preserve">Two-way communication systems are embedded into all PSEA activities </w:t>
      </w:r>
      <w:r w:rsidR="003D7D15">
        <w:rPr>
          <w:rFonts w:asciiTheme="majorHAnsi" w:eastAsia="Times New Roman" w:hAnsiTheme="majorHAnsi" w:cstheme="majorHAnsi"/>
          <w:lang w:eastAsia="en-GB"/>
        </w:rPr>
        <w:t>with communities;</w:t>
      </w:r>
    </w:p>
    <w:p w14:paraId="6D27DEE5" w14:textId="07874659" w:rsidR="003D7D15" w:rsidRPr="00CB2B63" w:rsidRDefault="00965DFB" w:rsidP="00CB2B63">
      <w:pPr>
        <w:pStyle w:val="ListParagraph"/>
        <w:numPr>
          <w:ilvl w:val="0"/>
          <w:numId w:val="18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 xml:space="preserve">Procedures, </w:t>
      </w:r>
      <w:proofErr w:type="spellStart"/>
      <w:r>
        <w:rPr>
          <w:rFonts w:asciiTheme="majorHAnsi" w:eastAsia="Times New Roman" w:hAnsiTheme="majorHAnsi" w:cstheme="majorHAnsi"/>
          <w:lang w:eastAsia="en-GB"/>
        </w:rPr>
        <w:t>SoPs</w:t>
      </w:r>
      <w:proofErr w:type="spellEnd"/>
      <w:r>
        <w:rPr>
          <w:rFonts w:asciiTheme="majorHAnsi" w:eastAsia="Times New Roman" w:hAnsiTheme="majorHAnsi" w:cstheme="majorHAnsi"/>
          <w:lang w:eastAsia="en-GB"/>
        </w:rPr>
        <w:t xml:space="preserve"> and principles of the CBCM are communicated to communities and discussed with them regularly to identify gaps and </w:t>
      </w:r>
      <w:r w:rsidR="004222FE">
        <w:rPr>
          <w:rFonts w:asciiTheme="majorHAnsi" w:eastAsia="Times New Roman" w:hAnsiTheme="majorHAnsi" w:cstheme="majorHAnsi"/>
          <w:lang w:eastAsia="en-GB"/>
        </w:rPr>
        <w:t>opportunities for improvement.</w:t>
      </w:r>
    </w:p>
    <w:p w14:paraId="6E09C0B6" w14:textId="77777777" w:rsidR="00672719" w:rsidRPr="00E509D4" w:rsidRDefault="00672719" w:rsidP="00E509D4">
      <w:pPr>
        <w:pStyle w:val="Heading2"/>
        <w:rPr>
          <w:rFonts w:eastAsia="Times New Roman"/>
          <w:lang w:eastAsia="en-GB"/>
        </w:rPr>
      </w:pPr>
      <w:r w:rsidRPr="00E509D4">
        <w:rPr>
          <w:rFonts w:eastAsia="Times New Roman"/>
          <w:lang w:eastAsia="en-GB"/>
        </w:rPr>
        <w:t>Protection</w:t>
      </w:r>
    </w:p>
    <w:p w14:paraId="0732F6F7" w14:textId="58400FA0" w:rsidR="00672719" w:rsidRPr="004222FE" w:rsidRDefault="00672719" w:rsidP="004222FE">
      <w:pPr>
        <w:pStyle w:val="ListParagraph"/>
        <w:numPr>
          <w:ilvl w:val="0"/>
          <w:numId w:val="19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4222FE">
        <w:rPr>
          <w:rFonts w:asciiTheme="majorHAnsi" w:eastAsia="Times New Roman" w:hAnsiTheme="majorHAnsi" w:cstheme="majorHAnsi"/>
          <w:lang w:eastAsia="en-GB"/>
        </w:rPr>
        <w:t>The CBCM is linked to existing victim assistance systems that are educated on PSEA and services are provided immediately, without waiting for the outcome of the complaint.</w:t>
      </w:r>
    </w:p>
    <w:p w14:paraId="4939041F" w14:textId="32974D18" w:rsidR="00672719" w:rsidRPr="004222FE" w:rsidRDefault="00672719" w:rsidP="004222FE">
      <w:pPr>
        <w:pStyle w:val="ListParagraph"/>
        <w:numPr>
          <w:ilvl w:val="0"/>
          <w:numId w:val="19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4222FE">
        <w:rPr>
          <w:rFonts w:asciiTheme="majorHAnsi" w:eastAsia="Times New Roman" w:hAnsiTheme="majorHAnsi" w:cstheme="majorHAnsi"/>
          <w:lang w:eastAsia="en-GB"/>
        </w:rPr>
        <w:t>A wide range of SEA prevention measures are implemented throughout the program, with the goal of stopping SEA before it occurs.</w:t>
      </w:r>
    </w:p>
    <w:p w14:paraId="1D23056B" w14:textId="77777777" w:rsidR="00672719" w:rsidRPr="00E509D4" w:rsidRDefault="00672719" w:rsidP="00E509D4">
      <w:pPr>
        <w:pStyle w:val="Heading2"/>
      </w:pPr>
      <w:r w:rsidRPr="00E509D4">
        <w:t>Monitoring and evaluation and programme adjustment</w:t>
      </w:r>
    </w:p>
    <w:p w14:paraId="22D41ABA" w14:textId="23DB6988" w:rsidR="00286B33" w:rsidRDefault="00286B33" w:rsidP="00E509D4">
      <w:pPr>
        <w:pStyle w:val="ListParagraph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 xml:space="preserve">The CBCM has effective mechanisms to allow victims to provide feedback on the process </w:t>
      </w:r>
      <w:r w:rsidR="00442944">
        <w:rPr>
          <w:rFonts w:asciiTheme="majorHAnsi" w:eastAsia="Times New Roman" w:hAnsiTheme="majorHAnsi" w:cstheme="majorHAnsi"/>
          <w:lang w:eastAsia="en-GB"/>
        </w:rPr>
        <w:t>and on the functioning of the CBCM;</w:t>
      </w:r>
    </w:p>
    <w:p w14:paraId="336C3A8F" w14:textId="29B312A3" w:rsidR="00E93FEA" w:rsidRPr="00E93FEA" w:rsidRDefault="00E93FEA" w:rsidP="00E93FEA">
      <w:pPr>
        <w:pStyle w:val="ListParagraph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 w:rsidRPr="00E509D4">
        <w:rPr>
          <w:rFonts w:asciiTheme="majorHAnsi" w:eastAsia="Times New Roman" w:hAnsiTheme="majorHAnsi" w:cstheme="majorHAnsi"/>
          <w:lang w:eastAsia="en-GB"/>
        </w:rPr>
        <w:t>The CBCM consistently monitors its performance and makes responsive adjustments to ensure a culturally relevant, safe and effective mechanism.</w:t>
      </w:r>
    </w:p>
    <w:p w14:paraId="6D45E1E2" w14:textId="328B4224" w:rsidR="00442944" w:rsidRDefault="00442944" w:rsidP="00E509D4">
      <w:pPr>
        <w:pStyle w:val="ListParagraph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>The CBCM has SMART indicators to measure its effectiveness, and these are created, tracked and discussed with all stakeholders including affected communities;</w:t>
      </w:r>
    </w:p>
    <w:p w14:paraId="2375382C" w14:textId="3C4BC31F" w:rsidR="00C057E8" w:rsidRDefault="004D16A2" w:rsidP="00E509D4">
      <w:pPr>
        <w:pStyle w:val="ListParagraph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>Community Engagement activities are created within the UNICEF Minimum Standards a</w:t>
      </w:r>
      <w:r w:rsidR="00F26763">
        <w:rPr>
          <w:rFonts w:asciiTheme="majorHAnsi" w:eastAsia="Times New Roman" w:hAnsiTheme="majorHAnsi" w:cstheme="majorHAnsi"/>
          <w:lang w:eastAsia="en-GB"/>
        </w:rPr>
        <w:t>n</w:t>
      </w:r>
      <w:r>
        <w:rPr>
          <w:rFonts w:asciiTheme="majorHAnsi" w:eastAsia="Times New Roman" w:hAnsiTheme="majorHAnsi" w:cstheme="majorHAnsi"/>
          <w:lang w:eastAsia="en-GB"/>
        </w:rPr>
        <w:t>d Indicators for Community Engagement and these are consistently tracked</w:t>
      </w:r>
      <w:r w:rsidR="00E93FEA">
        <w:rPr>
          <w:rFonts w:asciiTheme="majorHAnsi" w:eastAsia="Times New Roman" w:hAnsiTheme="majorHAnsi" w:cstheme="majorHAnsi"/>
          <w:lang w:eastAsia="en-GB"/>
        </w:rPr>
        <w:t xml:space="preserve"> and discussed with communities.</w:t>
      </w:r>
    </w:p>
    <w:p w14:paraId="41894791" w14:textId="4E73949C" w:rsidR="00F26763" w:rsidRDefault="00F26763" w:rsidP="00E509D4">
      <w:pPr>
        <w:pStyle w:val="ListParagraph"/>
        <w:numPr>
          <w:ilvl w:val="0"/>
          <w:numId w:val="16"/>
        </w:numPr>
        <w:spacing w:after="0"/>
        <w:jc w:val="both"/>
        <w:rPr>
          <w:rFonts w:asciiTheme="majorHAnsi" w:eastAsia="Times New Roman" w:hAnsiTheme="majorHAnsi" w:cstheme="majorHAnsi"/>
          <w:lang w:eastAsia="en-GB"/>
        </w:rPr>
      </w:pPr>
      <w:r>
        <w:rPr>
          <w:rFonts w:asciiTheme="majorHAnsi" w:eastAsia="Times New Roman" w:hAnsiTheme="majorHAnsi" w:cstheme="majorHAnsi"/>
          <w:lang w:eastAsia="en-GB"/>
        </w:rPr>
        <w:t>At least once every two years the CBCM is evaluated through a large-scale evaluation that includes the views and inputs of affected communities, partners and other stakeholders. In particular this ev</w:t>
      </w:r>
      <w:r w:rsidR="00B04E5A">
        <w:rPr>
          <w:rFonts w:asciiTheme="majorHAnsi" w:eastAsia="Times New Roman" w:hAnsiTheme="majorHAnsi" w:cstheme="majorHAnsi"/>
          <w:lang w:eastAsia="en-GB"/>
        </w:rPr>
        <w:t>aluation is used to adjust the mechanism based on communities uptake, use and trust in the CBCM.</w:t>
      </w:r>
    </w:p>
    <w:sectPr w:rsidR="00F26763" w:rsidSect="003C2749">
      <w:headerReference w:type="default" r:id="rId14"/>
      <w:pgSz w:w="12240" w:h="15840"/>
      <w:pgMar w:top="1582" w:right="1440" w:bottom="1440" w:left="1440" w:header="3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B4997" w14:textId="77777777" w:rsidR="00063FA1" w:rsidRDefault="00063FA1" w:rsidP="003C2749">
      <w:pPr>
        <w:spacing w:before="0" w:after="0" w:line="240" w:lineRule="auto"/>
      </w:pPr>
      <w:r>
        <w:separator/>
      </w:r>
    </w:p>
  </w:endnote>
  <w:endnote w:type="continuationSeparator" w:id="0">
    <w:p w14:paraId="08045771" w14:textId="77777777" w:rsidR="00063FA1" w:rsidRDefault="00063FA1" w:rsidP="003C27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003B9" w14:textId="77777777" w:rsidR="00063FA1" w:rsidRDefault="00063FA1" w:rsidP="003C2749">
      <w:pPr>
        <w:spacing w:before="0" w:after="0" w:line="240" w:lineRule="auto"/>
      </w:pPr>
      <w:r>
        <w:separator/>
      </w:r>
    </w:p>
  </w:footnote>
  <w:footnote w:type="continuationSeparator" w:id="0">
    <w:p w14:paraId="0AD4A146" w14:textId="77777777" w:rsidR="00063FA1" w:rsidRDefault="00063FA1" w:rsidP="003C27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EFC0C" w14:textId="49EF2EAC" w:rsidR="003C2749" w:rsidRDefault="003C2749">
    <w:pPr>
      <w:pStyle w:val="Header"/>
    </w:pPr>
    <w:r>
      <w:rPr>
        <w:noProof/>
      </w:rPr>
      <w:drawing>
        <wp:inline distT="0" distB="0" distL="0" distR="0" wp14:anchorId="77DE672E" wp14:editId="47C7594E">
          <wp:extent cx="2162032" cy="518795"/>
          <wp:effectExtent l="0" t="0" r="0" b="1905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6694" cy="539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77D21"/>
    <w:multiLevelType w:val="hybridMultilevel"/>
    <w:tmpl w:val="48FA00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61D1"/>
    <w:multiLevelType w:val="hybridMultilevel"/>
    <w:tmpl w:val="5BC63326"/>
    <w:lvl w:ilvl="0" w:tplc="CA104C80">
      <w:numFmt w:val="bullet"/>
      <w:lvlText w:val="□"/>
      <w:lvlJc w:val="left"/>
      <w:pPr>
        <w:ind w:left="144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453A9"/>
    <w:multiLevelType w:val="hybridMultilevel"/>
    <w:tmpl w:val="9A74E77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47770"/>
    <w:multiLevelType w:val="hybridMultilevel"/>
    <w:tmpl w:val="BB400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6053F"/>
    <w:multiLevelType w:val="hybridMultilevel"/>
    <w:tmpl w:val="B80E9AAC"/>
    <w:lvl w:ilvl="0" w:tplc="CA104C80">
      <w:numFmt w:val="bullet"/>
      <w:lvlText w:val="□"/>
      <w:lvlJc w:val="left"/>
      <w:pPr>
        <w:ind w:left="144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4B3FBA"/>
    <w:multiLevelType w:val="hybridMultilevel"/>
    <w:tmpl w:val="EC564B38"/>
    <w:lvl w:ilvl="0" w:tplc="FA8C8D22">
      <w:numFmt w:val="bullet"/>
      <w:lvlText w:val=""/>
      <w:lvlJc w:val="left"/>
      <w:pPr>
        <w:ind w:left="337" w:hanging="337"/>
      </w:pPr>
      <w:rPr>
        <w:rFonts w:ascii="Symbol" w:eastAsia="Symbol" w:hAnsi="Symbol" w:cs="Symbol" w:hint="default"/>
        <w:w w:val="78"/>
        <w:sz w:val="20"/>
        <w:szCs w:val="20"/>
      </w:rPr>
    </w:lvl>
    <w:lvl w:ilvl="1" w:tplc="BE1A85AE">
      <w:numFmt w:val="bullet"/>
      <w:lvlText w:val="•"/>
      <w:lvlJc w:val="left"/>
      <w:pPr>
        <w:ind w:left="1321" w:hanging="337"/>
      </w:pPr>
      <w:rPr>
        <w:rFonts w:hint="default"/>
      </w:rPr>
    </w:lvl>
    <w:lvl w:ilvl="2" w:tplc="E8CA2E28">
      <w:numFmt w:val="bullet"/>
      <w:lvlText w:val="•"/>
      <w:lvlJc w:val="left"/>
      <w:pPr>
        <w:ind w:left="2298" w:hanging="337"/>
      </w:pPr>
      <w:rPr>
        <w:rFonts w:hint="default"/>
      </w:rPr>
    </w:lvl>
    <w:lvl w:ilvl="3" w:tplc="04BC0914">
      <w:numFmt w:val="bullet"/>
      <w:lvlText w:val="•"/>
      <w:lvlJc w:val="left"/>
      <w:pPr>
        <w:ind w:left="3274" w:hanging="337"/>
      </w:pPr>
      <w:rPr>
        <w:rFonts w:hint="default"/>
      </w:rPr>
    </w:lvl>
    <w:lvl w:ilvl="4" w:tplc="9AC4F8A2">
      <w:numFmt w:val="bullet"/>
      <w:lvlText w:val="•"/>
      <w:lvlJc w:val="left"/>
      <w:pPr>
        <w:ind w:left="4251" w:hanging="337"/>
      </w:pPr>
      <w:rPr>
        <w:rFonts w:hint="default"/>
      </w:rPr>
    </w:lvl>
    <w:lvl w:ilvl="5" w:tplc="176CE904">
      <w:numFmt w:val="bullet"/>
      <w:lvlText w:val="•"/>
      <w:lvlJc w:val="left"/>
      <w:pPr>
        <w:ind w:left="5227" w:hanging="337"/>
      </w:pPr>
      <w:rPr>
        <w:rFonts w:hint="default"/>
      </w:rPr>
    </w:lvl>
    <w:lvl w:ilvl="6" w:tplc="D0B8E1A4">
      <w:numFmt w:val="bullet"/>
      <w:lvlText w:val="•"/>
      <w:lvlJc w:val="left"/>
      <w:pPr>
        <w:ind w:left="6204" w:hanging="337"/>
      </w:pPr>
      <w:rPr>
        <w:rFonts w:hint="default"/>
      </w:rPr>
    </w:lvl>
    <w:lvl w:ilvl="7" w:tplc="DACE9224">
      <w:numFmt w:val="bullet"/>
      <w:lvlText w:val="•"/>
      <w:lvlJc w:val="left"/>
      <w:pPr>
        <w:ind w:left="7180" w:hanging="337"/>
      </w:pPr>
      <w:rPr>
        <w:rFonts w:hint="default"/>
      </w:rPr>
    </w:lvl>
    <w:lvl w:ilvl="8" w:tplc="F41EEB3E">
      <w:numFmt w:val="bullet"/>
      <w:lvlText w:val="•"/>
      <w:lvlJc w:val="left"/>
      <w:pPr>
        <w:ind w:left="8157" w:hanging="337"/>
      </w:pPr>
      <w:rPr>
        <w:rFonts w:hint="default"/>
      </w:rPr>
    </w:lvl>
  </w:abstractNum>
  <w:abstractNum w:abstractNumId="6" w15:restartNumberingAfterBreak="0">
    <w:nsid w:val="22A255E5"/>
    <w:multiLevelType w:val="hybridMultilevel"/>
    <w:tmpl w:val="117AE7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w w:val="100"/>
        <w:position w:val="-1"/>
        <w:sz w:val="18"/>
        <w:szCs w:val="18"/>
      </w:rPr>
    </w:lvl>
    <w:lvl w:ilvl="1" w:tplc="BE1A85AE">
      <w:numFmt w:val="bullet"/>
      <w:lvlText w:val="•"/>
      <w:lvlJc w:val="left"/>
      <w:pPr>
        <w:ind w:left="1681" w:hanging="337"/>
      </w:pPr>
      <w:rPr>
        <w:rFonts w:hint="default"/>
      </w:rPr>
    </w:lvl>
    <w:lvl w:ilvl="2" w:tplc="E8CA2E28">
      <w:numFmt w:val="bullet"/>
      <w:lvlText w:val="•"/>
      <w:lvlJc w:val="left"/>
      <w:pPr>
        <w:ind w:left="2658" w:hanging="337"/>
      </w:pPr>
      <w:rPr>
        <w:rFonts w:hint="default"/>
      </w:rPr>
    </w:lvl>
    <w:lvl w:ilvl="3" w:tplc="04BC0914">
      <w:numFmt w:val="bullet"/>
      <w:lvlText w:val="•"/>
      <w:lvlJc w:val="left"/>
      <w:pPr>
        <w:ind w:left="3634" w:hanging="337"/>
      </w:pPr>
      <w:rPr>
        <w:rFonts w:hint="default"/>
      </w:rPr>
    </w:lvl>
    <w:lvl w:ilvl="4" w:tplc="9AC4F8A2">
      <w:numFmt w:val="bullet"/>
      <w:lvlText w:val="•"/>
      <w:lvlJc w:val="left"/>
      <w:pPr>
        <w:ind w:left="4611" w:hanging="337"/>
      </w:pPr>
      <w:rPr>
        <w:rFonts w:hint="default"/>
      </w:rPr>
    </w:lvl>
    <w:lvl w:ilvl="5" w:tplc="176CE904">
      <w:numFmt w:val="bullet"/>
      <w:lvlText w:val="•"/>
      <w:lvlJc w:val="left"/>
      <w:pPr>
        <w:ind w:left="5587" w:hanging="337"/>
      </w:pPr>
      <w:rPr>
        <w:rFonts w:hint="default"/>
      </w:rPr>
    </w:lvl>
    <w:lvl w:ilvl="6" w:tplc="D0B8E1A4">
      <w:numFmt w:val="bullet"/>
      <w:lvlText w:val="•"/>
      <w:lvlJc w:val="left"/>
      <w:pPr>
        <w:ind w:left="6564" w:hanging="337"/>
      </w:pPr>
      <w:rPr>
        <w:rFonts w:hint="default"/>
      </w:rPr>
    </w:lvl>
    <w:lvl w:ilvl="7" w:tplc="DACE9224">
      <w:numFmt w:val="bullet"/>
      <w:lvlText w:val="•"/>
      <w:lvlJc w:val="left"/>
      <w:pPr>
        <w:ind w:left="7540" w:hanging="337"/>
      </w:pPr>
      <w:rPr>
        <w:rFonts w:hint="default"/>
      </w:rPr>
    </w:lvl>
    <w:lvl w:ilvl="8" w:tplc="F41EEB3E">
      <w:numFmt w:val="bullet"/>
      <w:lvlText w:val="•"/>
      <w:lvlJc w:val="left"/>
      <w:pPr>
        <w:ind w:left="8517" w:hanging="337"/>
      </w:pPr>
      <w:rPr>
        <w:rFonts w:hint="default"/>
      </w:rPr>
    </w:lvl>
  </w:abstractNum>
  <w:abstractNum w:abstractNumId="7" w15:restartNumberingAfterBreak="0">
    <w:nsid w:val="276458B1"/>
    <w:multiLevelType w:val="hybridMultilevel"/>
    <w:tmpl w:val="84E6EEA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F06DC"/>
    <w:multiLevelType w:val="hybridMultilevel"/>
    <w:tmpl w:val="C9F4544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3240E"/>
    <w:multiLevelType w:val="hybridMultilevel"/>
    <w:tmpl w:val="D248990A"/>
    <w:lvl w:ilvl="0" w:tplc="0ADA930E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position w:val="-1"/>
        <w:sz w:val="18"/>
        <w:szCs w:val="18"/>
      </w:rPr>
    </w:lvl>
    <w:lvl w:ilvl="1" w:tplc="BE1A85AE">
      <w:numFmt w:val="bullet"/>
      <w:lvlText w:val="•"/>
      <w:lvlJc w:val="left"/>
      <w:pPr>
        <w:ind w:left="1681" w:hanging="337"/>
      </w:pPr>
      <w:rPr>
        <w:rFonts w:hint="default"/>
      </w:rPr>
    </w:lvl>
    <w:lvl w:ilvl="2" w:tplc="E8CA2E28">
      <w:numFmt w:val="bullet"/>
      <w:lvlText w:val="•"/>
      <w:lvlJc w:val="left"/>
      <w:pPr>
        <w:ind w:left="2658" w:hanging="337"/>
      </w:pPr>
      <w:rPr>
        <w:rFonts w:hint="default"/>
      </w:rPr>
    </w:lvl>
    <w:lvl w:ilvl="3" w:tplc="04BC0914">
      <w:numFmt w:val="bullet"/>
      <w:lvlText w:val="•"/>
      <w:lvlJc w:val="left"/>
      <w:pPr>
        <w:ind w:left="3634" w:hanging="337"/>
      </w:pPr>
      <w:rPr>
        <w:rFonts w:hint="default"/>
      </w:rPr>
    </w:lvl>
    <w:lvl w:ilvl="4" w:tplc="9AC4F8A2">
      <w:numFmt w:val="bullet"/>
      <w:lvlText w:val="•"/>
      <w:lvlJc w:val="left"/>
      <w:pPr>
        <w:ind w:left="4611" w:hanging="337"/>
      </w:pPr>
      <w:rPr>
        <w:rFonts w:hint="default"/>
      </w:rPr>
    </w:lvl>
    <w:lvl w:ilvl="5" w:tplc="176CE904">
      <w:numFmt w:val="bullet"/>
      <w:lvlText w:val="•"/>
      <w:lvlJc w:val="left"/>
      <w:pPr>
        <w:ind w:left="5587" w:hanging="337"/>
      </w:pPr>
      <w:rPr>
        <w:rFonts w:hint="default"/>
      </w:rPr>
    </w:lvl>
    <w:lvl w:ilvl="6" w:tplc="D0B8E1A4">
      <w:numFmt w:val="bullet"/>
      <w:lvlText w:val="•"/>
      <w:lvlJc w:val="left"/>
      <w:pPr>
        <w:ind w:left="6564" w:hanging="337"/>
      </w:pPr>
      <w:rPr>
        <w:rFonts w:hint="default"/>
      </w:rPr>
    </w:lvl>
    <w:lvl w:ilvl="7" w:tplc="DACE9224">
      <w:numFmt w:val="bullet"/>
      <w:lvlText w:val="•"/>
      <w:lvlJc w:val="left"/>
      <w:pPr>
        <w:ind w:left="7540" w:hanging="337"/>
      </w:pPr>
      <w:rPr>
        <w:rFonts w:hint="default"/>
      </w:rPr>
    </w:lvl>
    <w:lvl w:ilvl="8" w:tplc="F41EEB3E">
      <w:numFmt w:val="bullet"/>
      <w:lvlText w:val="•"/>
      <w:lvlJc w:val="left"/>
      <w:pPr>
        <w:ind w:left="8517" w:hanging="337"/>
      </w:pPr>
      <w:rPr>
        <w:rFonts w:hint="default"/>
      </w:rPr>
    </w:lvl>
  </w:abstractNum>
  <w:abstractNum w:abstractNumId="10" w15:restartNumberingAfterBreak="0">
    <w:nsid w:val="4D6559E9"/>
    <w:multiLevelType w:val="hybridMultilevel"/>
    <w:tmpl w:val="E62E0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226BAD"/>
    <w:multiLevelType w:val="hybridMultilevel"/>
    <w:tmpl w:val="2C0646CE"/>
    <w:lvl w:ilvl="0" w:tplc="CA104C80">
      <w:numFmt w:val="bullet"/>
      <w:lvlText w:val="□"/>
      <w:lvlJc w:val="left"/>
      <w:pPr>
        <w:ind w:left="72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4688B"/>
    <w:multiLevelType w:val="hybridMultilevel"/>
    <w:tmpl w:val="C3D42AF0"/>
    <w:lvl w:ilvl="0" w:tplc="CA104C80">
      <w:numFmt w:val="bullet"/>
      <w:lvlText w:val="□"/>
      <w:lvlJc w:val="left"/>
      <w:pPr>
        <w:ind w:left="72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B7F9A"/>
    <w:multiLevelType w:val="hybridMultilevel"/>
    <w:tmpl w:val="878202A8"/>
    <w:lvl w:ilvl="0" w:tplc="CA104C80">
      <w:numFmt w:val="bullet"/>
      <w:lvlText w:val="□"/>
      <w:lvlJc w:val="left"/>
      <w:pPr>
        <w:ind w:left="72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CA104C80">
      <w:numFmt w:val="bullet"/>
      <w:lvlText w:val="□"/>
      <w:lvlJc w:val="left"/>
      <w:pPr>
        <w:ind w:left="144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3C5E61"/>
    <w:multiLevelType w:val="hybridMultilevel"/>
    <w:tmpl w:val="DE26D802"/>
    <w:lvl w:ilvl="0" w:tplc="CA104C80">
      <w:numFmt w:val="bullet"/>
      <w:lvlText w:val="□"/>
      <w:lvlJc w:val="left"/>
      <w:pPr>
        <w:ind w:left="72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60A15"/>
    <w:multiLevelType w:val="hybridMultilevel"/>
    <w:tmpl w:val="1A9A0FF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03DD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A573B"/>
    <w:multiLevelType w:val="hybridMultilevel"/>
    <w:tmpl w:val="82660EBC"/>
    <w:lvl w:ilvl="0" w:tplc="CA104C80">
      <w:numFmt w:val="bullet"/>
      <w:lvlText w:val="□"/>
      <w:lvlJc w:val="left"/>
      <w:pPr>
        <w:ind w:left="144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6772B5"/>
    <w:multiLevelType w:val="hybridMultilevel"/>
    <w:tmpl w:val="924866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0505F"/>
    <w:multiLevelType w:val="hybridMultilevel"/>
    <w:tmpl w:val="0C08C9DC"/>
    <w:lvl w:ilvl="0" w:tplc="CA104C80">
      <w:numFmt w:val="bullet"/>
      <w:lvlText w:val="□"/>
      <w:lvlJc w:val="left"/>
      <w:pPr>
        <w:ind w:left="72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CD413A"/>
    <w:multiLevelType w:val="hybridMultilevel"/>
    <w:tmpl w:val="11240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C93605"/>
    <w:multiLevelType w:val="hybridMultilevel"/>
    <w:tmpl w:val="3698D2FC"/>
    <w:lvl w:ilvl="0" w:tplc="CA104C80">
      <w:numFmt w:val="bullet"/>
      <w:lvlText w:val="□"/>
      <w:lvlJc w:val="left"/>
      <w:pPr>
        <w:ind w:left="720" w:hanging="360"/>
      </w:pPr>
      <w:rPr>
        <w:rFonts w:ascii="Wingdings" w:eastAsia="Wingdings" w:hAnsi="Wingdings" w:cs="Wingdings" w:hint="default"/>
        <w:w w:val="11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8"/>
  </w:num>
  <w:num w:numId="5">
    <w:abstractNumId w:val="2"/>
  </w:num>
  <w:num w:numId="6">
    <w:abstractNumId w:val="3"/>
  </w:num>
  <w:num w:numId="7">
    <w:abstractNumId w:val="19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4"/>
  </w:num>
  <w:num w:numId="14">
    <w:abstractNumId w:val="18"/>
  </w:num>
  <w:num w:numId="15">
    <w:abstractNumId w:val="16"/>
  </w:num>
  <w:num w:numId="16">
    <w:abstractNumId w:val="11"/>
  </w:num>
  <w:num w:numId="17">
    <w:abstractNumId w:val="12"/>
  </w:num>
  <w:num w:numId="18">
    <w:abstractNumId w:val="14"/>
  </w:num>
  <w:num w:numId="19">
    <w:abstractNumId w:val="20"/>
  </w:num>
  <w:num w:numId="20">
    <w:abstractNumId w:val="1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500675"/>
    <w:rsid w:val="000014B8"/>
    <w:rsid w:val="00013AF9"/>
    <w:rsid w:val="00024504"/>
    <w:rsid w:val="000465DF"/>
    <w:rsid w:val="00063FA1"/>
    <w:rsid w:val="00091926"/>
    <w:rsid w:val="001230C9"/>
    <w:rsid w:val="00135DD8"/>
    <w:rsid w:val="00183A32"/>
    <w:rsid w:val="001A245B"/>
    <w:rsid w:val="001A7B52"/>
    <w:rsid w:val="001C0FF4"/>
    <w:rsid w:val="001F5481"/>
    <w:rsid w:val="001F7536"/>
    <w:rsid w:val="00243CB7"/>
    <w:rsid w:val="00286B33"/>
    <w:rsid w:val="002C371F"/>
    <w:rsid w:val="002D00F8"/>
    <w:rsid w:val="003016F5"/>
    <w:rsid w:val="00323EBB"/>
    <w:rsid w:val="003663C1"/>
    <w:rsid w:val="00376A65"/>
    <w:rsid w:val="003B7185"/>
    <w:rsid w:val="003C2749"/>
    <w:rsid w:val="003D360B"/>
    <w:rsid w:val="003D7D15"/>
    <w:rsid w:val="00405B7D"/>
    <w:rsid w:val="004167C7"/>
    <w:rsid w:val="004222FE"/>
    <w:rsid w:val="00442944"/>
    <w:rsid w:val="0046545F"/>
    <w:rsid w:val="00486EDF"/>
    <w:rsid w:val="004A6969"/>
    <w:rsid w:val="004D16A2"/>
    <w:rsid w:val="004E26B6"/>
    <w:rsid w:val="004E32A3"/>
    <w:rsid w:val="00532B83"/>
    <w:rsid w:val="005477E6"/>
    <w:rsid w:val="005851DD"/>
    <w:rsid w:val="00585A6B"/>
    <w:rsid w:val="00594806"/>
    <w:rsid w:val="005E4B14"/>
    <w:rsid w:val="00606718"/>
    <w:rsid w:val="00616E0E"/>
    <w:rsid w:val="00633974"/>
    <w:rsid w:val="00642309"/>
    <w:rsid w:val="00672719"/>
    <w:rsid w:val="0068389A"/>
    <w:rsid w:val="006A2D8C"/>
    <w:rsid w:val="006A6858"/>
    <w:rsid w:val="007761A5"/>
    <w:rsid w:val="007C0ED5"/>
    <w:rsid w:val="00816A9A"/>
    <w:rsid w:val="00876D1D"/>
    <w:rsid w:val="008943E6"/>
    <w:rsid w:val="008A6E3A"/>
    <w:rsid w:val="00923595"/>
    <w:rsid w:val="00965DFB"/>
    <w:rsid w:val="00A72063"/>
    <w:rsid w:val="00B04E5A"/>
    <w:rsid w:val="00B06B9A"/>
    <w:rsid w:val="00B122C0"/>
    <w:rsid w:val="00B97CC3"/>
    <w:rsid w:val="00C057E8"/>
    <w:rsid w:val="00C17851"/>
    <w:rsid w:val="00CB2B63"/>
    <w:rsid w:val="00D317E0"/>
    <w:rsid w:val="00D4496C"/>
    <w:rsid w:val="00DB4711"/>
    <w:rsid w:val="00DB69F5"/>
    <w:rsid w:val="00E402A7"/>
    <w:rsid w:val="00E509D4"/>
    <w:rsid w:val="00E93FEA"/>
    <w:rsid w:val="00EA3F88"/>
    <w:rsid w:val="00EB05A7"/>
    <w:rsid w:val="00F26763"/>
    <w:rsid w:val="00FD10CB"/>
    <w:rsid w:val="00FD1E2E"/>
    <w:rsid w:val="00FD48E8"/>
    <w:rsid w:val="2050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62B3BC"/>
  <w15:chartTrackingRefBased/>
  <w15:docId w15:val="{48C48838-8EE0-4989-9708-BD8665EA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B5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B5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B5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7B52"/>
    <w:pPr>
      <w:pBdr>
        <w:top w:val="single" w:sz="6" w:space="2" w:color="4472C4" w:themeColor="accent1"/>
        <w:left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7B52"/>
    <w:pPr>
      <w:pBdr>
        <w:top w:val="dotted" w:sz="6" w:space="2" w:color="4472C4" w:themeColor="accent1"/>
        <w:left w:val="dotted" w:sz="6" w:space="2" w:color="4472C4" w:themeColor="accent1"/>
      </w:pBdr>
      <w:spacing w:before="300" w:after="0"/>
      <w:outlineLvl w:val="3"/>
    </w:pPr>
    <w:rPr>
      <w:caps/>
      <w:color w:val="2F5496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7B52"/>
    <w:pPr>
      <w:pBdr>
        <w:bottom w:val="single" w:sz="6" w:space="1" w:color="4472C4" w:themeColor="accent1"/>
      </w:pBdr>
      <w:spacing w:before="300" w:after="0"/>
      <w:outlineLvl w:val="4"/>
    </w:pPr>
    <w:rPr>
      <w:caps/>
      <w:color w:val="2F5496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7B52"/>
    <w:pPr>
      <w:pBdr>
        <w:bottom w:val="dotted" w:sz="6" w:space="1" w:color="4472C4" w:themeColor="accent1"/>
      </w:pBdr>
      <w:spacing w:before="300" w:after="0"/>
      <w:outlineLvl w:val="5"/>
    </w:pPr>
    <w:rPr>
      <w:caps/>
      <w:color w:val="2F5496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7B52"/>
    <w:pPr>
      <w:spacing w:before="300" w:after="0"/>
      <w:outlineLvl w:val="6"/>
    </w:pPr>
    <w:rPr>
      <w:caps/>
      <w:color w:val="2F5496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7B5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7B5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749"/>
  </w:style>
  <w:style w:type="paragraph" w:styleId="Footer">
    <w:name w:val="footer"/>
    <w:basedOn w:val="Normal"/>
    <w:link w:val="FooterChar"/>
    <w:uiPriority w:val="99"/>
    <w:unhideWhenUsed/>
    <w:rsid w:val="003C2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749"/>
  </w:style>
  <w:style w:type="character" w:customStyle="1" w:styleId="Heading1Char">
    <w:name w:val="Heading 1 Char"/>
    <w:basedOn w:val="DefaultParagraphFont"/>
    <w:link w:val="Heading1"/>
    <w:uiPriority w:val="9"/>
    <w:rsid w:val="001A7B52"/>
    <w:rPr>
      <w:b/>
      <w:bCs/>
      <w:caps/>
      <w:color w:val="FFFFFF" w:themeColor="background1"/>
      <w:spacing w:val="15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1A7B52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7B52"/>
    <w:rPr>
      <w:caps/>
      <w:color w:val="1F3763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7B52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7B52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7B52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7B52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7B5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7B5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7B52"/>
    <w:rPr>
      <w:b/>
      <w:bCs/>
      <w:color w:val="2F5496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A7B52"/>
    <w:pPr>
      <w:spacing w:before="720"/>
    </w:pPr>
    <w:rPr>
      <w:caps/>
      <w:color w:val="4472C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A7B52"/>
    <w:rPr>
      <w:caps/>
      <w:color w:val="4472C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7B5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A7B5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1A7B52"/>
    <w:rPr>
      <w:b/>
      <w:bCs/>
    </w:rPr>
  </w:style>
  <w:style w:type="character" w:styleId="Emphasis">
    <w:name w:val="Emphasis"/>
    <w:uiPriority w:val="20"/>
    <w:qFormat/>
    <w:rsid w:val="001A7B52"/>
    <w:rPr>
      <w:caps/>
      <w:color w:val="1F3763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1A7B5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A7B52"/>
    <w:rPr>
      <w:sz w:val="20"/>
      <w:szCs w:val="20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1"/>
    <w:qFormat/>
    <w:rsid w:val="001A7B5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7B5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A7B5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7B52"/>
    <w:pPr>
      <w:pBdr>
        <w:top w:val="single" w:sz="4" w:space="10" w:color="4472C4" w:themeColor="accent1"/>
        <w:left w:val="single" w:sz="4" w:space="10" w:color="4472C4" w:themeColor="accent1"/>
      </w:pBdr>
      <w:spacing w:after="0"/>
      <w:ind w:left="1296" w:right="1152"/>
      <w:jc w:val="both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7B52"/>
    <w:rPr>
      <w:i/>
      <w:iCs/>
      <w:color w:val="4472C4" w:themeColor="accent1"/>
      <w:sz w:val="20"/>
      <w:szCs w:val="20"/>
    </w:rPr>
  </w:style>
  <w:style w:type="character" w:styleId="SubtleEmphasis">
    <w:name w:val="Subtle Emphasis"/>
    <w:uiPriority w:val="19"/>
    <w:qFormat/>
    <w:rsid w:val="001A7B52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1A7B52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1A7B52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1A7B52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1A7B5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7B5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B97CC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97CC3"/>
    <w:pPr>
      <w:spacing w:before="0" w:after="0" w:line="240" w:lineRule="auto"/>
    </w:pPr>
    <w:rPr>
      <w:rFonts w:eastAsiaTheme="minorHAnsi"/>
      <w:sz w:val="24"/>
      <w:szCs w:val="24"/>
      <w:lang w:val="en-GB" w:bidi="ta-I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97CC3"/>
    <w:rPr>
      <w:rFonts w:eastAsiaTheme="minorHAnsi"/>
      <w:sz w:val="24"/>
      <w:szCs w:val="24"/>
      <w:lang w:val="en-GB" w:bidi="ta-IN"/>
    </w:rPr>
  </w:style>
  <w:style w:type="character" w:styleId="FootnoteReference">
    <w:name w:val="footnote reference"/>
    <w:aliases w:val="16 Point,Superscript 6 Point,ftref"/>
    <w:basedOn w:val="DefaultParagraphFont"/>
    <w:uiPriority w:val="99"/>
    <w:unhideWhenUsed/>
    <w:rsid w:val="00B97CC3"/>
    <w:rPr>
      <w:rFonts w:asciiTheme="minorHAnsi" w:hAnsiTheme="minorHAnsi"/>
      <w:sz w:val="18"/>
      <w:vertAlign w:val="superscript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B97CC3"/>
    <w:rPr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6A6858"/>
    <w:pPr>
      <w:widowControl w:val="0"/>
      <w:autoSpaceDE w:val="0"/>
      <w:autoSpaceDN w:val="0"/>
      <w:spacing w:before="0"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6A6858"/>
    <w:rPr>
      <w:rFonts w:ascii="Calibri" w:eastAsia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6A2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2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interagencystandingcommittee.org/system/files/2020-09/Best%20Practice%20Guide%20Inter%20Agency%20Community%20Based%20Complaint%20Mechanisms.pdf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F2B0DD315EC49C4385DBF269DB536196" ma:contentTypeVersion="41" ma:contentTypeDescription="Create a new document." ma:contentTypeScope="" ma:versionID="2e4ac731d286f9cd17481b8891cda50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380bcc00-27e3-4e98-84f3-503a56210dde" xmlns:ns5="3d893f48-a6db-43b3-a603-73a3c2ab1919" xmlns:ns6="http://schemas.microsoft.com/sharepoint/v4" targetNamespace="http://schemas.microsoft.com/office/2006/metadata/properties" ma:root="true" ma:fieldsID="930c16cb8c6a487011e62bd31a9467e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380bcc00-27e3-4e98-84f3-503a56210dde"/>
    <xsd:import namespace="3d893f48-a6db-43b3-a603-73a3c2ab191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Category_x0020_1" minOccurs="0"/>
                <xsd:element ref="ns5:Sess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Location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6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7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82;#ESARO, Kenya-240R|7bbc30fe-a709-40ec-9d8d-27e5b90d882c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7ce46211-2ad0-46c2-af48-0e3efab9c04c}" ma:internalName="TaxCatchAllLabel" ma:readOnly="true" ma:showField="CatchAllDataLabel" ma:web="380bcc00-27e3-4e98-84f3-503a56210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7ce46211-2ad0-46c2-af48-0e3efab9c04c}" ma:internalName="TaxCatchAll" ma:showField="CatchAllData" ma:web="380bcc00-27e3-4e98-84f3-503a56210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bcc00-27e3-4e98-84f3-503a56210dde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8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9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93f48-a6db-43b3-a603-73a3c2ab19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Category_x0020_1" ma:index="37" nillable="true" ma:displayName="Area of work" ma:format="Dropdown" ma:indexed="true" ma:internalName="Category_x0020_1">
      <xsd:simpleType>
        <xsd:restriction base="dms:Choice">
          <xsd:enumeration value="Accountability, data, M&amp;E"/>
          <xsd:enumeration value="Access to Justice"/>
          <xsd:enumeration value="Child care reform"/>
          <xsd:enumeration value="CAAC"/>
          <xsd:enumeration value="Child labour"/>
          <xsd:enumeration value="Child marriage"/>
          <xsd:enumeration value="Child Protection Strategy"/>
          <xsd:enumeration value="Child Protection Systems"/>
          <xsd:enumeration value="CotM"/>
          <xsd:enumeration value="COVID-19"/>
          <xsd:enumeration value="CPiE"/>
          <xsd:enumeration value="CRVS"/>
          <xsd:enumeration value="EU-BR Project  (2nd)"/>
          <xsd:enumeration value="ESAR Child Protection Essentials"/>
          <xsd:enumeration value="MHPSS"/>
          <xsd:enumeration value="FGM"/>
          <xsd:enumeration value="GBViE"/>
          <xsd:enumeration value="Human Rights"/>
          <xsd:enumeration value="PSEA"/>
          <xsd:enumeration value="SSWS"/>
          <xsd:enumeration value="Partnership"/>
          <xsd:enumeration value="PF4C"/>
          <xsd:enumeration value="Annual Work Plans"/>
          <xsd:enumeration value="UNICEF AWP/RWP"/>
          <xsd:enumeration value="Network Meeting 2019"/>
          <xsd:enumeration value="Network Meeting"/>
          <xsd:enumeration value="SP Indicator reporting"/>
          <xsd:enumeration value="VAC"/>
        </xsd:restriction>
      </xsd:simpleType>
    </xsd:element>
    <xsd:element name="Session" ma:index="38" nillable="true" ma:displayName="Session name:" ma:default="Essential Documents" ma:format="Dropdown" ma:internalName="Session">
      <xsd:simpleType>
        <xsd:restriction base="dms:Choice">
          <xsd:enumeration value="Essential Documents"/>
          <xsd:enumeration value="Opening and setting the scene"/>
          <xsd:enumeration value="Session 1: Country, Regional and Global Directions"/>
          <xsd:enumeration value="Session 2: Ending Violence Against Children"/>
          <xsd:enumeration value="Session 3: Public Finance for Children"/>
          <xsd:enumeration value="Session 4: Social Service Workforce Strengthening"/>
          <xsd:enumeration value="Session 5: Protection from Sexual Exploitation and Abuse"/>
          <xsd:enumeration value="Session 6: Child Protection and C4D approach to address social norms"/>
          <xsd:enumeration value="Country Posters"/>
        </xsd:restriction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4" nillable="true" ma:displayName="Location" ma:internalName="MediaServiceLocation" ma:readOnly="true">
      <xsd:simpleType>
        <xsd:restriction base="dms:Text"/>
      </xsd:simpleType>
    </xsd:element>
    <xsd:element name="MediaLengthInSeconds" ma:index="5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ssion xmlns="3d893f48-a6db-43b3-a603-73a3c2ab1919">Essential Documents</Session>
    <TaxCatchAll xmlns="ca283e0b-db31-4043-a2ef-b80661bf084a">
      <Value>2</Value>
      <Value>148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ESARO, Kenya-240R</TermName>
          <TermId xmlns="http://schemas.microsoft.com/office/infopath/2007/PartnerControls">7bbc30fe-a709-40ec-9d8d-27e5b90d882c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PSEA - General</TermName>
          <TermId xmlns="http://schemas.microsoft.com/office/infopath/2007/PartnerControls">48f4f168-95b1-42a0-aef2-45c97d3e73d8</TermId>
        </TermInfo>
      </Terms>
    </h6a71f3e574e4344bc34f3fc9dd20054>
    <Category_x0020_1 xmlns="3d893f48-a6db-43b3-a603-73a3c2ab1919">PSEA</Category_x0020_1>
    <TaxKeywordTaxHTField xmlns="380bcc00-27e3-4e98-84f3-503a56210dde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SemaphoreItemMetadata xmlns="380bcc00-27e3-4e98-84f3-503a56210dde" xsi:nil="true"/>
    <WrittenBy xmlns="ca283e0b-db31-4043-a2ef-b80661bf084a">
      <UserInfo>
        <DisplayName/>
        <AccountId xsi:nil="true"/>
        <AccountType/>
      </UserInfo>
    </WrittenBy>
    <SharedWithUsers xmlns="380bcc00-27e3-4e98-84f3-503a56210dde">
      <UserInfo>
        <DisplayName/>
        <AccountId xsi:nil="true"/>
        <AccountType/>
      </UserInfo>
    </SharedWithUsers>
    <MediaLengthInSeconds xmlns="3d893f48-a6db-43b3-a603-73a3c2ab1919" xsi:nil="true"/>
  </documentManagement>
</p:properties>
</file>

<file path=customXml/itemProps1.xml><?xml version="1.0" encoding="utf-8"?>
<ds:datastoreItem xmlns:ds="http://schemas.openxmlformats.org/officeDocument/2006/customXml" ds:itemID="{9F36E6FA-AAF6-403B-8E42-96637C472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380bcc00-27e3-4e98-84f3-503a56210dde"/>
    <ds:schemaRef ds:uri="3d893f48-a6db-43b3-a603-73a3c2ab191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E2E15F-34DD-4898-A0EE-B8790D31FB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174AB-E19D-4093-BAB6-3AE2480D5AD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C65E3D9C-27D1-4FB6-8BFB-09DE679079C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9324E44-BE03-41D7-A33F-6ACE451BD87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1775E09-2BCD-4FD0-9D32-CDCE762D4FAD}">
  <ds:schemaRefs>
    <ds:schemaRef ds:uri="http://schemas.microsoft.com/office/2006/documentManagement/types"/>
    <ds:schemaRef ds:uri="http://purl.org/dc/dcmitype/"/>
    <ds:schemaRef ds:uri="http://purl.org/dc/terms/"/>
    <ds:schemaRef ds:uri="380bcc00-27e3-4e98-84f3-503a56210dde"/>
    <ds:schemaRef ds:uri="3d893f48-a6db-43b3-a603-73a3c2ab1919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http://schemas.microsoft.com/sharepoint.v3"/>
    <ds:schemaRef ds:uri="http://schemas.microsoft.com/office/2006/metadata/properties"/>
    <ds:schemaRef ds:uri="ca283e0b-db31-4043-a2ef-b80661bf084a"/>
    <ds:schemaRef ds:uri="http://schemas.microsoft.com/sharepoint/v3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 Ayala Iacucci</dc:creator>
  <cp:keywords/>
  <dc:description/>
  <cp:lastModifiedBy>Nami Nakatani </cp:lastModifiedBy>
  <cp:revision>47</cp:revision>
  <dcterms:created xsi:type="dcterms:W3CDTF">2021-01-18T11:07:00Z</dcterms:created>
  <dcterms:modified xsi:type="dcterms:W3CDTF">2021-09-15T15:39:00Z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0x0101009BA85F8052A6DA4FA3E31FF9F74C697000F2B0DD315EC49C4385DBF269DB536196</vt:lpwstr>
  </property>
  <property fmtid="{D5CDD505-2E9C-101B-9397-08002B2CF9AE}" pid="3" name="Order">
    <vt:r8>40200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SystemDTAC">
    <vt:lpwstr/>
  </property>
  <property fmtid="{D5CDD505-2E9C-101B-9397-08002B2CF9AE}" pid="7" name="TaxKeyword">
    <vt:lpwstr/>
  </property>
  <property fmtid="{D5CDD505-2E9C-101B-9397-08002B2CF9AE}" pid="8" name="Topic">
    <vt:lpwstr>148;#PSEA - General|48f4f168-95b1-42a0-aef2-45c97d3e73d8</vt:lpwstr>
  </property>
  <property fmtid="{D5CDD505-2E9C-101B-9397-08002B2CF9AE}" pid="9" name="OfficeDivision">
    <vt:lpwstr>2;#ESARO, Kenya-240R|7bbc30fe-a709-40ec-9d8d-27e5b90d882c</vt:lpwstr>
  </property>
  <property fmtid="{D5CDD505-2E9C-101B-9397-08002B2CF9AE}" pid="10" name="CriticalForLongTermRetention">
    <vt:lpwstr/>
  </property>
  <property fmtid="{D5CDD505-2E9C-101B-9397-08002B2CF9AE}" pid="11" name="DocumentType">
    <vt:lpwstr/>
  </property>
  <property fmtid="{D5CDD505-2E9C-101B-9397-08002B2CF9AE}" pid="12" name="GeographicScope">
    <vt:lpwstr/>
  </property>
</Properties>
</file>