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E8" w:rsidRPr="001112ED" w:rsidRDefault="001112ED" w:rsidP="00727B1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112ED">
        <w:rPr>
          <w:b/>
          <w:sz w:val="28"/>
          <w:szCs w:val="28"/>
        </w:rPr>
        <w:t>GENDER EQUALITY PROGRAMMING ACTION PLAN FOR RAKHINE</w:t>
      </w:r>
      <w:r w:rsidR="007E26F9">
        <w:rPr>
          <w:b/>
          <w:sz w:val="28"/>
          <w:szCs w:val="28"/>
        </w:rPr>
        <w:t xml:space="preserve"> AND KACHIN</w:t>
      </w:r>
    </w:p>
    <w:p w:rsidR="00727B1B" w:rsidRDefault="00727B1B" w:rsidP="00727B1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June 2015</w:t>
      </w:r>
    </w:p>
    <w:p w:rsidR="00727B1B" w:rsidRPr="00142DCF" w:rsidRDefault="00727B1B" w:rsidP="00727B1B">
      <w:pPr>
        <w:spacing w:after="0" w:line="240" w:lineRule="auto"/>
        <w:rPr>
          <w:sz w:val="24"/>
          <w:szCs w:val="24"/>
        </w:rPr>
      </w:pPr>
    </w:p>
    <w:p w:rsidR="00A62EEC" w:rsidRPr="00142DCF" w:rsidRDefault="00A62EEC" w:rsidP="00A62EEC">
      <w:pPr>
        <w:keepLines/>
        <w:widowControl w:val="0"/>
        <w:numPr>
          <w:ilvl w:val="0"/>
          <w:numId w:val="3"/>
        </w:numPr>
        <w:shd w:val="clear" w:color="auto" w:fill="D6E3BC" w:themeFill="accent3" w:themeFillTint="66"/>
        <w:spacing w:before="60" w:after="60" w:line="240" w:lineRule="auto"/>
        <w:ind w:left="425" w:hanging="425"/>
        <w:jc w:val="both"/>
        <w:rPr>
          <w:rFonts w:eastAsia="Times New Roman" w:cs="Times New Roman"/>
          <w:sz w:val="24"/>
          <w:szCs w:val="24"/>
          <w:lang w:val="en-GB"/>
        </w:rPr>
      </w:pPr>
      <w:r w:rsidRPr="00142DCF">
        <w:rPr>
          <w:rFonts w:eastAsia="Times New Roman" w:cs="Times New Roman"/>
          <w:b/>
          <w:sz w:val="24"/>
          <w:szCs w:val="24"/>
          <w:lang w:val="en-GB"/>
        </w:rPr>
        <w:t>Information and Analysis</w:t>
      </w:r>
    </w:p>
    <w:p w:rsidR="00A62EEC" w:rsidRPr="00142DCF" w:rsidRDefault="001112ED" w:rsidP="00A62E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Advocate for collection, analysis and reporting </w:t>
      </w:r>
      <w:r w:rsidR="00A62EEC" w:rsidRPr="00142DCF">
        <w:rPr>
          <w:rFonts w:eastAsia="Times New Roman" w:cs="Times New Roman"/>
          <w:color w:val="000000"/>
          <w:sz w:val="24"/>
          <w:szCs w:val="24"/>
          <w:lang w:val="en-GB"/>
        </w:rPr>
        <w:t>on sex- and age-disaggregated data (quantitative, qualitative and anecdotal), including vulnerability factors and rates of access to goods/services by sex and age, to inform decision-making and coordination;</w:t>
      </w:r>
    </w:p>
    <w:p w:rsidR="001112ED" w:rsidRPr="00142DCF" w:rsidRDefault="001112ED" w:rsidP="00A62E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>Advocate for gender analysis to be included in assessment and design of new programmes</w:t>
      </w:r>
    </w:p>
    <w:p w:rsidR="001112ED" w:rsidRPr="00142DCF" w:rsidRDefault="001112ED" w:rsidP="001112E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>Produce s</w:t>
      </w:r>
      <w:proofErr w:type="spellStart"/>
      <w:r w:rsidR="00142DCF" w:rsidRPr="00142DCF">
        <w:rPr>
          <w:sz w:val="24"/>
          <w:szCs w:val="24"/>
        </w:rPr>
        <w:t>napshots</w:t>
      </w:r>
      <w:proofErr w:type="spellEnd"/>
      <w:r w:rsidRPr="00142DCF">
        <w:rPr>
          <w:sz w:val="24"/>
          <w:szCs w:val="24"/>
        </w:rPr>
        <w:t xml:space="preserve"> to highlight gender dimensions of humanitarian issues and response</w:t>
      </w:r>
    </w:p>
    <w:p w:rsidR="00A62EEC" w:rsidRPr="00142DCF" w:rsidRDefault="00A62EEC" w:rsidP="00A62EEC">
      <w:pPr>
        <w:keepLines/>
        <w:widowControl w:val="0"/>
        <w:numPr>
          <w:ilvl w:val="0"/>
          <w:numId w:val="3"/>
        </w:numPr>
        <w:shd w:val="clear" w:color="auto" w:fill="D6E3BC" w:themeFill="accent3" w:themeFillTint="66"/>
        <w:spacing w:before="60" w:after="60" w:line="240" w:lineRule="auto"/>
        <w:ind w:left="425" w:hanging="425"/>
        <w:jc w:val="both"/>
        <w:rPr>
          <w:rFonts w:eastAsia="Times New Roman" w:cs="Times New Roman"/>
          <w:sz w:val="24"/>
          <w:szCs w:val="24"/>
          <w:lang w:val="en-GB"/>
        </w:rPr>
      </w:pPr>
      <w:r w:rsidRPr="00142DCF">
        <w:rPr>
          <w:rFonts w:eastAsia="Times New Roman" w:cs="Times New Roman"/>
          <w:b/>
          <w:sz w:val="24"/>
          <w:szCs w:val="24"/>
          <w:lang w:val="en-GB"/>
        </w:rPr>
        <w:t>P</w:t>
      </w:r>
      <w:r w:rsidR="001112ED" w:rsidRPr="00142DCF">
        <w:rPr>
          <w:rFonts w:eastAsia="Times New Roman" w:cs="Times New Roman"/>
          <w:b/>
          <w:sz w:val="24"/>
          <w:szCs w:val="24"/>
          <w:lang w:val="en-GB"/>
        </w:rPr>
        <w:t>rogramme and Monitoring Support</w:t>
      </w:r>
    </w:p>
    <w:p w:rsidR="00A62EEC" w:rsidRPr="00142DCF" w:rsidRDefault="00A62EEC" w:rsidP="00142D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>Conduct gender review</w:t>
      </w:r>
      <w:r w:rsidR="001112ED" w:rsidRPr="00142DCF">
        <w:rPr>
          <w:rFonts w:eastAsia="Times New Roman" w:cs="Times New Roman"/>
          <w:color w:val="000000"/>
          <w:sz w:val="24"/>
          <w:szCs w:val="24"/>
          <w:lang w:val="en-GB"/>
        </w:rPr>
        <w:t>s</w:t>
      </w: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 for</w:t>
      </w:r>
      <w:r w:rsidR="001112ED"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 interested Clusters/Sectors (ex. Education), s</w:t>
      </w: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>har</w:t>
      </w:r>
      <w:r w:rsidR="001112ED"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e findings </w:t>
      </w: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with relevant stakeholders and </w:t>
      </w:r>
      <w:r w:rsidR="001112ED" w:rsidRPr="00142DCF">
        <w:rPr>
          <w:rFonts w:eastAsia="Times New Roman" w:cs="Times New Roman"/>
          <w:color w:val="000000"/>
          <w:sz w:val="24"/>
          <w:szCs w:val="24"/>
          <w:lang w:val="en-GB"/>
        </w:rPr>
        <w:t>implement</w:t>
      </w: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 key recommendations for programming;</w:t>
      </w:r>
    </w:p>
    <w:p w:rsidR="001112ED" w:rsidRPr="00142DCF" w:rsidRDefault="001112ED" w:rsidP="00142D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Advocate for </w:t>
      </w:r>
      <w:r w:rsidR="00541833" w:rsidRPr="00142DCF">
        <w:rPr>
          <w:rFonts w:eastAsia="Times New Roman" w:cs="Times New Roman"/>
          <w:color w:val="000000"/>
          <w:sz w:val="24"/>
          <w:szCs w:val="24"/>
          <w:lang w:val="en-GB"/>
        </w:rPr>
        <w:t>systematic consultation</w:t>
      </w:r>
      <w:r w:rsidR="00A62EEC" w:rsidRPr="00142DCF">
        <w:rPr>
          <w:rFonts w:eastAsia="Times New Roman" w:cs="Times New Roman"/>
          <w:color w:val="000000"/>
          <w:sz w:val="24"/>
          <w:szCs w:val="24"/>
          <w:lang w:val="en-GB"/>
        </w:rPr>
        <w:t>s</w:t>
      </w: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 with women, girls, boys and men during assessments and </w:t>
      </w:r>
      <w:r w:rsidR="00142DCF" w:rsidRPr="00142DCF">
        <w:rPr>
          <w:rFonts w:eastAsia="Times New Roman" w:cs="Times New Roman"/>
          <w:color w:val="000000"/>
          <w:sz w:val="24"/>
          <w:szCs w:val="24"/>
          <w:lang w:val="en-GB"/>
        </w:rPr>
        <w:t>monitoring</w:t>
      </w: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 activities</w:t>
      </w:r>
    </w:p>
    <w:p w:rsidR="00727B1B" w:rsidRPr="00142DCF" w:rsidRDefault="001112ED" w:rsidP="00142D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Disseminate Cluster/Sector-specific </w:t>
      </w:r>
      <w:r w:rsidR="00541833" w:rsidRPr="00142DCF">
        <w:rPr>
          <w:rFonts w:eastAsia="Times New Roman" w:cs="Times New Roman"/>
          <w:color w:val="000000"/>
          <w:sz w:val="24"/>
          <w:szCs w:val="24"/>
          <w:lang w:val="en-GB"/>
        </w:rPr>
        <w:t>Guidance Note</w:t>
      </w: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>s</w:t>
      </w:r>
      <w:r w:rsidR="00541833"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 on </w:t>
      </w: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>Gender Equality</w:t>
      </w:r>
      <w:r w:rsidR="00541833"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 Programming</w:t>
      </w:r>
      <w:r w:rsidR="00A62EEC" w:rsidRPr="00142DCF">
        <w:rPr>
          <w:rFonts w:eastAsia="Times New Roman" w:cs="Times New Roman"/>
          <w:color w:val="000000"/>
          <w:sz w:val="24"/>
          <w:szCs w:val="24"/>
          <w:lang w:val="en-GB"/>
        </w:rPr>
        <w:t>;</w:t>
      </w:r>
    </w:p>
    <w:p w:rsidR="001112ED" w:rsidRPr="00142DCF" w:rsidRDefault="001112ED" w:rsidP="00142D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>Ask for t</w:t>
      </w:r>
      <w:r w:rsidR="00727B1B" w:rsidRPr="00142DCF">
        <w:rPr>
          <w:rFonts w:eastAsia="Times New Roman" w:cs="Times New Roman"/>
          <w:color w:val="000000"/>
          <w:sz w:val="24"/>
          <w:szCs w:val="24"/>
          <w:lang w:val="en-GB"/>
        </w:rPr>
        <w:t>echnical advice</w:t>
      </w: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 and support from </w:t>
      </w:r>
      <w:proofErr w:type="spellStart"/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>GenCap</w:t>
      </w:r>
      <w:proofErr w:type="spellEnd"/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 Advisor if/when needed</w:t>
      </w:r>
    </w:p>
    <w:p w:rsidR="001112ED" w:rsidRPr="00142DCF" w:rsidRDefault="00142DCF" w:rsidP="00142D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>Conduct</w:t>
      </w:r>
      <w:r w:rsidR="001112ED"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 regular monitoring visits (ex. Post-Distribution </w:t>
      </w: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>Monitoring</w:t>
      </w:r>
      <w:r w:rsidR="001112ED" w:rsidRPr="00142DCF">
        <w:rPr>
          <w:rFonts w:eastAsia="Times New Roman" w:cs="Times New Roman"/>
          <w:color w:val="000000"/>
          <w:sz w:val="24"/>
          <w:szCs w:val="24"/>
          <w:lang w:val="en-GB"/>
        </w:rPr>
        <w:t>) to identify gender issues</w:t>
      </w:r>
    </w:p>
    <w:p w:rsidR="001112ED" w:rsidRPr="00142DCF" w:rsidRDefault="001112ED" w:rsidP="00142D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Apply key recommendations </w:t>
      </w:r>
      <w:r w:rsidR="00A65D3E"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to ensure that programmes </w:t>
      </w:r>
      <w:r w:rsidR="00142DCF" w:rsidRPr="00142DCF">
        <w:rPr>
          <w:rFonts w:eastAsia="Times New Roman" w:cs="Times New Roman"/>
          <w:color w:val="000000"/>
          <w:sz w:val="24"/>
          <w:szCs w:val="24"/>
          <w:lang w:val="en-GB"/>
        </w:rPr>
        <w:t>promote</w:t>
      </w:r>
      <w:r w:rsidR="00A65D3E"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 gender equality (ex. adapting shelter materials for </w:t>
      </w:r>
      <w:r w:rsidR="00142DCF" w:rsidRPr="00142DCF">
        <w:rPr>
          <w:rFonts w:eastAsia="Times New Roman" w:cs="Times New Roman"/>
          <w:color w:val="000000"/>
          <w:sz w:val="24"/>
          <w:szCs w:val="24"/>
          <w:lang w:val="en-GB"/>
        </w:rPr>
        <w:t>repairs</w:t>
      </w:r>
      <w:r w:rsidR="00A65D3E"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 and new</w:t>
      </w: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 building</w:t>
      </w:r>
      <w:r w:rsidR="00A65D3E" w:rsidRPr="00142DCF">
        <w:rPr>
          <w:rFonts w:eastAsia="Times New Roman" w:cs="Times New Roman"/>
          <w:color w:val="000000"/>
          <w:sz w:val="24"/>
          <w:szCs w:val="24"/>
          <w:lang w:val="en-GB"/>
        </w:rPr>
        <w:t>s</w:t>
      </w: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, </w:t>
      </w:r>
      <w:r w:rsidR="00A65D3E"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procuring </w:t>
      </w:r>
      <w:r w:rsidR="00142DCF" w:rsidRPr="00142DCF">
        <w:rPr>
          <w:rFonts w:eastAsia="Times New Roman" w:cs="Times New Roman"/>
          <w:color w:val="000000"/>
          <w:sz w:val="24"/>
          <w:szCs w:val="24"/>
          <w:lang w:val="en-GB"/>
        </w:rPr>
        <w:t>and</w:t>
      </w:r>
      <w:r w:rsidR="00A65D3E"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r w:rsidR="00142DCF" w:rsidRPr="00142DCF">
        <w:rPr>
          <w:rFonts w:eastAsia="Times New Roman" w:cs="Times New Roman"/>
          <w:color w:val="000000"/>
          <w:sz w:val="24"/>
          <w:szCs w:val="24"/>
          <w:lang w:val="en-GB"/>
        </w:rPr>
        <w:t>distribution</w:t>
      </w:r>
      <w:r w:rsidR="00A65D3E"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torches, </w:t>
      </w:r>
      <w:r w:rsidR="00A65D3E" w:rsidRPr="00142DCF">
        <w:rPr>
          <w:rFonts w:eastAsia="Times New Roman" w:cs="Times New Roman"/>
          <w:color w:val="000000"/>
          <w:sz w:val="24"/>
          <w:szCs w:val="24"/>
          <w:lang w:val="en-GB"/>
        </w:rPr>
        <w:t>providing s</w:t>
      </w: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>upport</w:t>
      </w:r>
      <w:r w:rsidR="00A65D3E" w:rsidRPr="00142DCF">
        <w:rPr>
          <w:rFonts w:eastAsia="Times New Roman" w:cs="Times New Roman"/>
          <w:color w:val="000000"/>
          <w:sz w:val="24"/>
          <w:szCs w:val="24"/>
          <w:lang w:val="en-GB"/>
        </w:rPr>
        <w:t>s</w:t>
      </w: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 for female staff</w:t>
      </w:r>
      <w:r w:rsidR="00A65D3E"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 working in camps, based in camps, as well as </w:t>
      </w:r>
      <w:r w:rsidR="00142DCF" w:rsidRPr="00142DCF">
        <w:rPr>
          <w:rFonts w:eastAsia="Times New Roman" w:cs="Times New Roman"/>
          <w:color w:val="000000"/>
          <w:sz w:val="24"/>
          <w:szCs w:val="24"/>
          <w:lang w:val="en-GB"/>
        </w:rPr>
        <w:t>volunteers</w:t>
      </w:r>
    </w:p>
    <w:p w:rsidR="00A65D3E" w:rsidRPr="00142DCF" w:rsidRDefault="00A62EEC" w:rsidP="00142DCF">
      <w:pPr>
        <w:keepLines/>
        <w:widowControl w:val="0"/>
        <w:numPr>
          <w:ilvl w:val="0"/>
          <w:numId w:val="3"/>
        </w:numPr>
        <w:shd w:val="clear" w:color="auto" w:fill="D6E3BC" w:themeFill="accent3" w:themeFillTint="66"/>
        <w:spacing w:before="60" w:after="60" w:line="240" w:lineRule="auto"/>
        <w:ind w:left="425" w:hanging="425"/>
        <w:jc w:val="both"/>
        <w:rPr>
          <w:rFonts w:eastAsia="Times New Roman" w:cs="Times New Roman"/>
          <w:b/>
          <w:sz w:val="24"/>
          <w:szCs w:val="24"/>
          <w:lang w:val="en-GB"/>
        </w:rPr>
      </w:pPr>
      <w:r w:rsidRPr="00142DCF">
        <w:rPr>
          <w:rFonts w:eastAsia="Times New Roman" w:cs="Times New Roman"/>
          <w:b/>
          <w:sz w:val="24"/>
          <w:szCs w:val="24"/>
          <w:lang w:val="en-GB"/>
        </w:rPr>
        <w:t xml:space="preserve">Capacity Strengthening </w:t>
      </w:r>
    </w:p>
    <w:p w:rsidR="001112ED" w:rsidRPr="00142DCF" w:rsidRDefault="00142DCF" w:rsidP="00142D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>Brief</w:t>
      </w:r>
      <w:r w:rsidR="00A65D3E"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>organizations</w:t>
      </w:r>
      <w:r w:rsidR="00A65D3E"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 and </w:t>
      </w: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>Clusters</w:t>
      </w:r>
      <w:r w:rsidR="00A65D3E"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/Sectors on GEP Training </w:t>
      </w:r>
    </w:p>
    <w:p w:rsidR="00A65D3E" w:rsidRPr="00142DCF" w:rsidRDefault="00A65D3E" w:rsidP="00142D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>Develop IEC material to be used at community levels</w:t>
      </w:r>
    </w:p>
    <w:p w:rsidR="001112ED" w:rsidRPr="00142DCF" w:rsidRDefault="00A65D3E" w:rsidP="00142D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>Conduct s</w:t>
      </w:r>
      <w:r w:rsidR="001112ED" w:rsidRPr="00142DCF">
        <w:rPr>
          <w:rFonts w:eastAsia="Times New Roman" w:cs="Times New Roman"/>
          <w:color w:val="000000"/>
          <w:sz w:val="24"/>
          <w:szCs w:val="24"/>
          <w:lang w:val="en-GB"/>
        </w:rPr>
        <w:t>tep-down</w:t>
      </w: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 trainings on GEP for </w:t>
      </w:r>
      <w:r w:rsidR="001112ED" w:rsidRPr="00142DCF">
        <w:rPr>
          <w:rFonts w:eastAsia="Times New Roman" w:cs="Times New Roman"/>
          <w:color w:val="000000"/>
          <w:sz w:val="24"/>
          <w:szCs w:val="24"/>
          <w:lang w:val="en-GB"/>
        </w:rPr>
        <w:t>Cluster/Sector leads</w:t>
      </w: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 and members</w:t>
      </w:r>
    </w:p>
    <w:p w:rsidR="00A65D3E" w:rsidRPr="00142DCF" w:rsidRDefault="00A65D3E" w:rsidP="00142D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Provide refresher trainings, trainer manual (English and </w:t>
      </w:r>
      <w:r w:rsidR="00142DCF" w:rsidRPr="00142DCF">
        <w:rPr>
          <w:rFonts w:eastAsia="Times New Roman" w:cs="Times New Roman"/>
          <w:color w:val="000000"/>
          <w:sz w:val="24"/>
          <w:szCs w:val="24"/>
          <w:lang w:val="en-GB"/>
        </w:rPr>
        <w:t>Myanmar</w:t>
      </w: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>)</w:t>
      </w:r>
    </w:p>
    <w:p w:rsidR="00A65D3E" w:rsidRPr="00142DCF" w:rsidRDefault="00142DCF" w:rsidP="00142D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eastAsia="Times New Roman" w:cs="Times New Roman"/>
          <w:color w:val="000000"/>
          <w:sz w:val="24"/>
          <w:szCs w:val="24"/>
          <w:lang w:val="en-GB"/>
        </w:rPr>
      </w:pPr>
      <w:r>
        <w:rPr>
          <w:rFonts w:eastAsia="Times New Roman" w:cs="Times New Roman"/>
          <w:color w:val="000000"/>
          <w:sz w:val="24"/>
          <w:szCs w:val="24"/>
          <w:lang w:val="en-GB"/>
        </w:rPr>
        <w:t>Provide GEP i</w:t>
      </w:r>
      <w:r w:rsidR="00A65D3E" w:rsidRPr="00142DCF">
        <w:rPr>
          <w:rFonts w:eastAsia="Times New Roman" w:cs="Times New Roman"/>
          <w:color w:val="000000"/>
          <w:sz w:val="24"/>
          <w:szCs w:val="24"/>
          <w:lang w:val="en-GB"/>
        </w:rPr>
        <w:t>nductions for new staff</w:t>
      </w:r>
      <w:r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en-GB"/>
        </w:rPr>
        <w:t>withing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en-GB"/>
        </w:rPr>
        <w:t xml:space="preserve"> organizations and Clusters/Sectors</w:t>
      </w:r>
    </w:p>
    <w:p w:rsidR="00A65D3E" w:rsidRPr="00142DCF" w:rsidRDefault="00142DCF" w:rsidP="00142DCF">
      <w:pPr>
        <w:keepLines/>
        <w:widowControl w:val="0"/>
        <w:numPr>
          <w:ilvl w:val="0"/>
          <w:numId w:val="3"/>
        </w:numPr>
        <w:shd w:val="clear" w:color="auto" w:fill="D6E3BC" w:themeFill="accent3" w:themeFillTint="66"/>
        <w:spacing w:before="60" w:after="60" w:line="240" w:lineRule="auto"/>
        <w:ind w:left="425" w:hanging="425"/>
        <w:jc w:val="both"/>
        <w:rPr>
          <w:rFonts w:eastAsia="Times New Roman" w:cs="Times New Roman"/>
          <w:b/>
          <w:sz w:val="24"/>
          <w:szCs w:val="24"/>
          <w:lang w:val="en-GB"/>
        </w:rPr>
      </w:pPr>
      <w:r w:rsidRPr="00142DCF">
        <w:rPr>
          <w:rFonts w:eastAsia="Times New Roman" w:cs="Times New Roman"/>
          <w:b/>
          <w:sz w:val="24"/>
          <w:szCs w:val="24"/>
          <w:lang w:val="en-GB"/>
        </w:rPr>
        <w:t>Advocacy</w:t>
      </w:r>
      <w:r w:rsidR="00A65D3E" w:rsidRPr="00142DCF">
        <w:rPr>
          <w:rFonts w:eastAsia="Times New Roman" w:cs="Times New Roman"/>
          <w:b/>
          <w:sz w:val="24"/>
          <w:szCs w:val="24"/>
          <w:lang w:val="en-GB"/>
        </w:rPr>
        <w:t xml:space="preserve"> </w:t>
      </w:r>
      <w:r w:rsidRPr="00142DCF">
        <w:rPr>
          <w:rFonts w:eastAsia="Times New Roman" w:cs="Times New Roman"/>
          <w:b/>
          <w:sz w:val="24"/>
          <w:szCs w:val="24"/>
          <w:lang w:val="en-GB"/>
        </w:rPr>
        <w:t>E</w:t>
      </w:r>
      <w:r w:rsidR="00A65D3E" w:rsidRPr="00142DCF">
        <w:rPr>
          <w:rFonts w:eastAsia="Times New Roman" w:cs="Times New Roman"/>
          <w:b/>
          <w:sz w:val="24"/>
          <w:szCs w:val="24"/>
          <w:lang w:val="en-GB"/>
        </w:rPr>
        <w:t>fforts</w:t>
      </w:r>
    </w:p>
    <w:p w:rsidR="00A65D3E" w:rsidRPr="00142DCF" w:rsidRDefault="00A65D3E" w:rsidP="00142D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Raise awareness raising on gender (organizational, </w:t>
      </w:r>
      <w:r w:rsidR="00142DCF" w:rsidRPr="00142DCF">
        <w:rPr>
          <w:rFonts w:eastAsia="Times New Roman" w:cs="Times New Roman"/>
          <w:color w:val="000000"/>
          <w:sz w:val="24"/>
          <w:szCs w:val="24"/>
          <w:lang w:val="en-GB"/>
        </w:rPr>
        <w:t>committees</w:t>
      </w: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>, communities)</w:t>
      </w:r>
    </w:p>
    <w:p w:rsidR="001112ED" w:rsidRPr="00142DCF" w:rsidRDefault="001112ED" w:rsidP="00142D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Encourage </w:t>
      </w:r>
      <w:r w:rsidR="00142DCF" w:rsidRPr="00142DCF">
        <w:rPr>
          <w:rFonts w:eastAsia="Times New Roman" w:cs="Times New Roman"/>
          <w:color w:val="000000"/>
          <w:sz w:val="24"/>
          <w:szCs w:val="24"/>
          <w:lang w:val="en-GB"/>
        </w:rPr>
        <w:t>women’s</w:t>
      </w: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r w:rsidR="00142DCF" w:rsidRPr="00142DCF">
        <w:rPr>
          <w:rFonts w:eastAsia="Times New Roman" w:cs="Times New Roman"/>
          <w:color w:val="000000"/>
          <w:sz w:val="24"/>
          <w:szCs w:val="24"/>
          <w:lang w:val="en-GB"/>
        </w:rPr>
        <w:t>participation</w:t>
      </w: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 in all </w:t>
      </w:r>
      <w:r w:rsidR="00142DCF" w:rsidRPr="00142DCF">
        <w:rPr>
          <w:rFonts w:eastAsia="Times New Roman" w:cs="Times New Roman"/>
          <w:color w:val="000000"/>
          <w:sz w:val="24"/>
          <w:szCs w:val="24"/>
          <w:lang w:val="en-GB"/>
        </w:rPr>
        <w:t>activities</w:t>
      </w: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</w:p>
    <w:p w:rsidR="001112ED" w:rsidRPr="00142DCF" w:rsidRDefault="001112ED" w:rsidP="00142D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>Incorporate gender lens in proposals</w:t>
      </w:r>
    </w:p>
    <w:p w:rsidR="001112ED" w:rsidRPr="00142DCF" w:rsidRDefault="001112ED" w:rsidP="00142D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Make a statutory gender point on </w:t>
      </w:r>
      <w:r w:rsidR="00142DCF">
        <w:rPr>
          <w:rFonts w:eastAsia="Times New Roman" w:cs="Times New Roman"/>
          <w:color w:val="000000"/>
          <w:sz w:val="24"/>
          <w:szCs w:val="24"/>
          <w:lang w:val="en-GB"/>
        </w:rPr>
        <w:t>agenda</w:t>
      </w: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 of cluster/sector meetings</w:t>
      </w:r>
    </w:p>
    <w:p w:rsidR="001112ED" w:rsidRPr="00142DCF" w:rsidRDefault="00142DCF" w:rsidP="00142D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eastAsia="Times New Roman" w:cs="Times New Roman"/>
          <w:color w:val="000000"/>
          <w:sz w:val="24"/>
          <w:szCs w:val="24"/>
          <w:lang w:val="en-GB"/>
        </w:rPr>
      </w:pPr>
      <w:r>
        <w:rPr>
          <w:rFonts w:eastAsia="Times New Roman" w:cs="Times New Roman"/>
          <w:color w:val="000000"/>
          <w:sz w:val="24"/>
          <w:szCs w:val="24"/>
          <w:lang w:val="en-GB"/>
        </w:rPr>
        <w:t xml:space="preserve">Advocate that each organization </w:t>
      </w:r>
      <w:r w:rsidR="00A65D3E" w:rsidRPr="00142DCF">
        <w:rPr>
          <w:rFonts w:eastAsia="Times New Roman" w:cs="Times New Roman"/>
          <w:color w:val="000000"/>
          <w:sz w:val="24"/>
          <w:szCs w:val="24"/>
          <w:lang w:val="en-GB"/>
        </w:rPr>
        <w:t>budget</w:t>
      </w:r>
      <w:r>
        <w:rPr>
          <w:rFonts w:eastAsia="Times New Roman" w:cs="Times New Roman"/>
          <w:color w:val="000000"/>
          <w:sz w:val="24"/>
          <w:szCs w:val="24"/>
          <w:lang w:val="en-GB"/>
        </w:rPr>
        <w:t>s</w:t>
      </w:r>
      <w:r w:rsidR="00A65D3E"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 for </w:t>
      </w:r>
      <w:r>
        <w:rPr>
          <w:rFonts w:eastAsia="Times New Roman" w:cs="Times New Roman"/>
          <w:color w:val="000000"/>
          <w:sz w:val="24"/>
          <w:szCs w:val="24"/>
          <w:lang w:val="en-GB"/>
        </w:rPr>
        <w:t>and hires dedicated g</w:t>
      </w:r>
      <w:r w:rsidR="00A65D3E"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ender expertise </w:t>
      </w:r>
    </w:p>
    <w:p w:rsidR="001112ED" w:rsidRPr="00142DCF" w:rsidRDefault="001112ED" w:rsidP="00142D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>Promo</w:t>
      </w:r>
      <w:r w:rsidR="00A65D3E" w:rsidRPr="00142DCF">
        <w:rPr>
          <w:rFonts w:eastAsia="Times New Roman" w:cs="Times New Roman"/>
          <w:color w:val="000000"/>
          <w:sz w:val="24"/>
          <w:szCs w:val="24"/>
          <w:lang w:val="en-GB"/>
        </w:rPr>
        <w:t>te IWD/16 days gender</w:t>
      </w:r>
      <w:r w:rsidR="00142DCF">
        <w:rPr>
          <w:rFonts w:eastAsia="Times New Roman" w:cs="Times New Roman"/>
          <w:color w:val="000000"/>
          <w:sz w:val="24"/>
          <w:szCs w:val="24"/>
          <w:lang w:val="en-GB"/>
        </w:rPr>
        <w:t>-</w:t>
      </w:r>
      <w:r w:rsidR="00142DCF" w:rsidRPr="00142DCF">
        <w:rPr>
          <w:rFonts w:eastAsia="Times New Roman" w:cs="Times New Roman"/>
          <w:color w:val="000000"/>
          <w:sz w:val="24"/>
          <w:szCs w:val="24"/>
          <w:lang w:val="en-GB"/>
        </w:rPr>
        <w:t>awareness</w:t>
      </w:r>
      <w:r w:rsidR="00A65D3E"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 activities</w:t>
      </w:r>
    </w:p>
    <w:p w:rsidR="001112ED" w:rsidRPr="00142DCF" w:rsidRDefault="001112ED" w:rsidP="001112ED">
      <w:pPr>
        <w:keepLines/>
        <w:widowControl w:val="0"/>
        <w:numPr>
          <w:ilvl w:val="0"/>
          <w:numId w:val="3"/>
        </w:numPr>
        <w:shd w:val="clear" w:color="auto" w:fill="D6E3BC" w:themeFill="accent3" w:themeFillTint="66"/>
        <w:spacing w:before="120" w:after="60" w:line="240" w:lineRule="auto"/>
        <w:ind w:left="425" w:hanging="425"/>
        <w:jc w:val="both"/>
        <w:rPr>
          <w:rFonts w:eastAsia="Times New Roman" w:cs="Times New Roman"/>
          <w:b/>
          <w:sz w:val="24"/>
          <w:szCs w:val="24"/>
          <w:lang w:val="en-GB"/>
        </w:rPr>
      </w:pPr>
      <w:r w:rsidRPr="00142DCF">
        <w:rPr>
          <w:rFonts w:eastAsia="Times New Roman" w:cs="Times New Roman"/>
          <w:b/>
          <w:sz w:val="24"/>
          <w:szCs w:val="24"/>
          <w:lang w:val="en-GB"/>
        </w:rPr>
        <w:t>P</w:t>
      </w:r>
      <w:r w:rsidR="00142DCF" w:rsidRPr="00142DCF">
        <w:rPr>
          <w:rFonts w:eastAsia="Times New Roman" w:cs="Times New Roman"/>
          <w:b/>
          <w:sz w:val="24"/>
          <w:szCs w:val="24"/>
          <w:lang w:val="en-GB"/>
        </w:rPr>
        <w:t>romote</w:t>
      </w:r>
      <w:r w:rsidRPr="00142DCF">
        <w:rPr>
          <w:rFonts w:eastAsia="Times New Roman" w:cs="Times New Roman"/>
          <w:b/>
          <w:sz w:val="24"/>
          <w:szCs w:val="24"/>
          <w:lang w:val="en-GB"/>
        </w:rPr>
        <w:t xml:space="preserve"> Women’s Participation</w:t>
      </w:r>
    </w:p>
    <w:p w:rsidR="00142DCF" w:rsidRPr="00142DCF" w:rsidRDefault="00142DCF" w:rsidP="00142D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>Promote gender balance of humanitarian staff</w:t>
      </w:r>
    </w:p>
    <w:p w:rsidR="00142DCF" w:rsidRPr="00142DCF" w:rsidRDefault="00142DCF" w:rsidP="00142D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lastRenderedPageBreak/>
        <w:t>Develop advocacy materials addressing community and camp leaders that promote women’s participation</w:t>
      </w:r>
    </w:p>
    <w:p w:rsidR="001112ED" w:rsidRPr="00142DCF" w:rsidRDefault="001112ED" w:rsidP="00142DCF">
      <w:pPr>
        <w:keepLines/>
        <w:widowControl w:val="0"/>
        <w:numPr>
          <w:ilvl w:val="0"/>
          <w:numId w:val="3"/>
        </w:numPr>
        <w:shd w:val="clear" w:color="auto" w:fill="D6E3BC" w:themeFill="accent3" w:themeFillTint="66"/>
        <w:spacing w:before="120" w:after="60" w:line="240" w:lineRule="auto"/>
        <w:jc w:val="both"/>
        <w:rPr>
          <w:rFonts w:eastAsia="Times New Roman" w:cs="Times New Roman"/>
          <w:b/>
          <w:sz w:val="24"/>
          <w:szCs w:val="24"/>
          <w:lang w:val="en-GB"/>
        </w:rPr>
      </w:pPr>
      <w:r w:rsidRPr="00142DCF">
        <w:rPr>
          <w:rFonts w:eastAsia="Times New Roman" w:cs="Times New Roman"/>
          <w:b/>
          <w:sz w:val="24"/>
          <w:szCs w:val="24"/>
          <w:lang w:val="en-GB"/>
        </w:rPr>
        <w:t>Supporting Gender Mainstreaming in Organizations’ Internal Practices</w:t>
      </w:r>
    </w:p>
    <w:p w:rsidR="00A65D3E" w:rsidRPr="00142DCF" w:rsidRDefault="00A65D3E" w:rsidP="00142D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>Name gender focal point for each organization and Cluster/Sector</w:t>
      </w:r>
    </w:p>
    <w:p w:rsidR="001112ED" w:rsidRPr="00142DCF" w:rsidRDefault="001112ED" w:rsidP="00142D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>Propose gender mainstreaming in projects and budgeting</w:t>
      </w:r>
    </w:p>
    <w:p w:rsidR="001112ED" w:rsidRPr="00142DCF" w:rsidRDefault="001112ED" w:rsidP="00142D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Encore gender  equality in contracts or </w:t>
      </w:r>
      <w:r w:rsidR="00142DCF" w:rsidRPr="00142DCF">
        <w:rPr>
          <w:rFonts w:eastAsia="Times New Roman" w:cs="Times New Roman"/>
          <w:color w:val="000000"/>
          <w:sz w:val="24"/>
          <w:szCs w:val="24"/>
          <w:lang w:val="en-GB"/>
        </w:rPr>
        <w:t>cooperation</w:t>
      </w: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 agreements</w:t>
      </w:r>
    </w:p>
    <w:p w:rsidR="001112ED" w:rsidRPr="00142DCF" w:rsidRDefault="001112ED" w:rsidP="00142D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>Promote gender equality in recruitment at all levels</w:t>
      </w:r>
    </w:p>
    <w:p w:rsidR="001112ED" w:rsidRPr="00142DCF" w:rsidRDefault="001112ED" w:rsidP="00142D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Include gender </w:t>
      </w:r>
      <w:r w:rsidR="00142DCF" w:rsidRPr="00142DCF">
        <w:rPr>
          <w:rFonts w:eastAsia="Times New Roman" w:cs="Times New Roman"/>
          <w:color w:val="000000"/>
          <w:sz w:val="24"/>
          <w:szCs w:val="24"/>
          <w:lang w:val="en-GB"/>
        </w:rPr>
        <w:t>perspectives</w:t>
      </w: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 in staff performance appraisals</w:t>
      </w:r>
    </w:p>
    <w:p w:rsidR="001112ED" w:rsidRPr="00142DCF" w:rsidRDefault="00142DCF" w:rsidP="00142D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>Provide n</w:t>
      </w:r>
      <w:r w:rsidR="001112ED"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ew staff </w:t>
      </w: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>inductions</w:t>
      </w:r>
      <w:r w:rsidR="001112ED" w:rsidRPr="00142DCF">
        <w:rPr>
          <w:rFonts w:eastAsia="Times New Roman" w:cs="Times New Roman"/>
          <w:color w:val="000000"/>
          <w:sz w:val="24"/>
          <w:szCs w:val="24"/>
          <w:lang w:val="en-GB"/>
        </w:rPr>
        <w:t>/orientation on gender issues</w:t>
      </w:r>
    </w:p>
    <w:p w:rsidR="001112ED" w:rsidRPr="00142DCF" w:rsidRDefault="001112ED" w:rsidP="00142D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>Support new staff to incorporate gender analysis in project development</w:t>
      </w:r>
    </w:p>
    <w:p w:rsidR="001112ED" w:rsidRPr="00142DCF" w:rsidRDefault="001112ED" w:rsidP="00142D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Include GEP in TORs/performance </w:t>
      </w:r>
      <w:r w:rsidR="00142DCF" w:rsidRPr="00142DCF">
        <w:rPr>
          <w:rFonts w:eastAsia="Times New Roman" w:cs="Times New Roman"/>
          <w:color w:val="000000"/>
          <w:sz w:val="24"/>
          <w:szCs w:val="24"/>
          <w:lang w:val="en-GB"/>
        </w:rPr>
        <w:t>appraisals</w:t>
      </w:r>
    </w:p>
    <w:p w:rsidR="001112ED" w:rsidRPr="00142DCF" w:rsidRDefault="001112ED" w:rsidP="00142D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For </w:t>
      </w:r>
      <w:r w:rsidR="00142DCF" w:rsidRPr="00142DCF">
        <w:rPr>
          <w:rFonts w:eastAsia="Times New Roman" w:cs="Times New Roman"/>
          <w:color w:val="000000"/>
          <w:sz w:val="24"/>
          <w:szCs w:val="24"/>
          <w:lang w:val="en-GB"/>
        </w:rPr>
        <w:t>staff</w:t>
      </w: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 who take up additional gender </w:t>
      </w:r>
      <w:r w:rsidR="00142DCF" w:rsidRPr="00142DCF">
        <w:rPr>
          <w:rFonts w:eastAsia="Times New Roman" w:cs="Times New Roman"/>
          <w:color w:val="000000"/>
          <w:sz w:val="24"/>
          <w:szCs w:val="24"/>
          <w:lang w:val="en-GB"/>
        </w:rPr>
        <w:t>responsibilities</w:t>
      </w: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, promote or give </w:t>
      </w:r>
      <w:r w:rsidR="00142DCF" w:rsidRPr="00142DCF">
        <w:rPr>
          <w:rFonts w:eastAsia="Times New Roman" w:cs="Times New Roman"/>
          <w:color w:val="000000"/>
          <w:sz w:val="24"/>
          <w:szCs w:val="24"/>
          <w:lang w:val="en-GB"/>
        </w:rPr>
        <w:t xml:space="preserve">recognition as well as </w:t>
      </w: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>professional development opportunities</w:t>
      </w:r>
    </w:p>
    <w:p w:rsidR="00F5450E" w:rsidRPr="00142DCF" w:rsidRDefault="00541833" w:rsidP="00A62EEC">
      <w:pPr>
        <w:keepLines/>
        <w:widowControl w:val="0"/>
        <w:numPr>
          <w:ilvl w:val="0"/>
          <w:numId w:val="3"/>
        </w:numPr>
        <w:shd w:val="clear" w:color="auto" w:fill="D6E3BC" w:themeFill="accent3" w:themeFillTint="66"/>
        <w:spacing w:before="120" w:after="60" w:line="240" w:lineRule="auto"/>
        <w:ind w:left="425" w:hanging="425"/>
        <w:jc w:val="both"/>
        <w:rPr>
          <w:rFonts w:eastAsia="Times New Roman" w:cs="Times New Roman"/>
          <w:b/>
          <w:sz w:val="24"/>
          <w:szCs w:val="24"/>
          <w:lang w:val="en-GB"/>
        </w:rPr>
      </w:pPr>
      <w:r w:rsidRPr="00142DCF">
        <w:rPr>
          <w:rFonts w:eastAsia="Times New Roman" w:cs="Times New Roman"/>
          <w:b/>
          <w:sz w:val="24"/>
          <w:szCs w:val="24"/>
          <w:lang w:val="en-GB"/>
        </w:rPr>
        <w:t>P</w:t>
      </w:r>
      <w:r w:rsidR="00A62EEC" w:rsidRPr="00142DCF">
        <w:rPr>
          <w:rFonts w:eastAsia="Times New Roman" w:cs="Times New Roman"/>
          <w:b/>
          <w:sz w:val="24"/>
          <w:szCs w:val="24"/>
          <w:lang w:val="en-GB"/>
        </w:rPr>
        <w:t>rotection from Sexual Exploitation and Abuse (P</w:t>
      </w:r>
      <w:r w:rsidRPr="00142DCF">
        <w:rPr>
          <w:rFonts w:eastAsia="Times New Roman" w:cs="Times New Roman"/>
          <w:b/>
          <w:sz w:val="24"/>
          <w:szCs w:val="24"/>
          <w:lang w:val="en-GB"/>
        </w:rPr>
        <w:t>SEA</w:t>
      </w:r>
      <w:r w:rsidR="00A62EEC" w:rsidRPr="00142DCF">
        <w:rPr>
          <w:rFonts w:eastAsia="Times New Roman" w:cs="Times New Roman"/>
          <w:b/>
          <w:sz w:val="24"/>
          <w:szCs w:val="24"/>
          <w:lang w:val="en-GB"/>
        </w:rPr>
        <w:t>)</w:t>
      </w:r>
    </w:p>
    <w:p w:rsidR="00142DCF" w:rsidRPr="00142DCF" w:rsidRDefault="00142DCF" w:rsidP="00142D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>Find out if respective organizations have a Code of Conduct and PSEA Focal Point</w:t>
      </w:r>
    </w:p>
    <w:p w:rsidR="00142DCF" w:rsidRPr="00142DCF" w:rsidRDefault="00142DCF" w:rsidP="00142D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142DCF">
        <w:rPr>
          <w:rFonts w:eastAsia="Times New Roman" w:cs="Times New Roman"/>
          <w:color w:val="000000"/>
          <w:sz w:val="24"/>
          <w:szCs w:val="24"/>
          <w:lang w:val="en-GB"/>
        </w:rPr>
        <w:t>Report back on findings and determine course of action</w:t>
      </w:r>
    </w:p>
    <w:sectPr w:rsidR="00142DCF" w:rsidRPr="00142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1D8"/>
    <w:multiLevelType w:val="hybridMultilevel"/>
    <w:tmpl w:val="6E8EAB18"/>
    <w:lvl w:ilvl="0" w:tplc="D958C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63F4B"/>
    <w:multiLevelType w:val="multilevel"/>
    <w:tmpl w:val="DAB04A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>
    <w:nsid w:val="0F864252"/>
    <w:multiLevelType w:val="hybridMultilevel"/>
    <w:tmpl w:val="15A2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E26D3"/>
    <w:multiLevelType w:val="multilevel"/>
    <w:tmpl w:val="51D6E5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">
    <w:nsid w:val="26B825D4"/>
    <w:multiLevelType w:val="multilevel"/>
    <w:tmpl w:val="F9C4A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5">
    <w:nsid w:val="33917DDA"/>
    <w:multiLevelType w:val="multilevel"/>
    <w:tmpl w:val="6ED42EE4"/>
    <w:lvl w:ilvl="0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A160C65"/>
    <w:multiLevelType w:val="multilevel"/>
    <w:tmpl w:val="6D2E08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7">
    <w:nsid w:val="3CD7365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434A22E8"/>
    <w:multiLevelType w:val="multilevel"/>
    <w:tmpl w:val="0409001F"/>
    <w:numStyleLink w:val="111111"/>
  </w:abstractNum>
  <w:abstractNum w:abstractNumId="9">
    <w:nsid w:val="4BAD739A"/>
    <w:multiLevelType w:val="hybridMultilevel"/>
    <w:tmpl w:val="01D6C974"/>
    <w:lvl w:ilvl="0" w:tplc="98743844">
      <w:numFmt w:val="bullet"/>
      <w:lvlText w:val="-"/>
      <w:lvlJc w:val="left"/>
      <w:pPr>
        <w:ind w:left="54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0">
    <w:nsid w:val="76CC386F"/>
    <w:multiLevelType w:val="hybridMultilevel"/>
    <w:tmpl w:val="4FEA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A4515"/>
    <w:multiLevelType w:val="hybridMultilevel"/>
    <w:tmpl w:val="E42E390A"/>
    <w:lvl w:ilvl="0" w:tplc="ACB2D7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EDD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297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A9C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B8D6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061B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2D0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0E9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5C80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0E"/>
    <w:rsid w:val="000238C9"/>
    <w:rsid w:val="001112ED"/>
    <w:rsid w:val="00142DCF"/>
    <w:rsid w:val="00243FE0"/>
    <w:rsid w:val="00295124"/>
    <w:rsid w:val="002C64E8"/>
    <w:rsid w:val="0042239C"/>
    <w:rsid w:val="005327D8"/>
    <w:rsid w:val="00541833"/>
    <w:rsid w:val="00727B1B"/>
    <w:rsid w:val="007E26F9"/>
    <w:rsid w:val="009A766B"/>
    <w:rsid w:val="00A62EEC"/>
    <w:rsid w:val="00A65D3E"/>
    <w:rsid w:val="00E80075"/>
    <w:rsid w:val="00F5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50E"/>
    <w:pPr>
      <w:ind w:left="720"/>
      <w:contextualSpacing/>
    </w:pPr>
  </w:style>
  <w:style w:type="numbering" w:styleId="111111">
    <w:name w:val="Outline List 2"/>
    <w:basedOn w:val="NoList"/>
    <w:rsid w:val="000238C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50E"/>
    <w:pPr>
      <w:ind w:left="720"/>
      <w:contextualSpacing/>
    </w:pPr>
  </w:style>
  <w:style w:type="numbering" w:styleId="111111">
    <w:name w:val="Outline List 2"/>
    <w:basedOn w:val="NoList"/>
    <w:rsid w:val="000238C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D48F-21B7-4E1E-9C80-F4C44E9E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Caterina</dc:creator>
  <cp:lastModifiedBy>Maria Caterina</cp:lastModifiedBy>
  <cp:revision>2</cp:revision>
  <dcterms:created xsi:type="dcterms:W3CDTF">2015-09-10T05:21:00Z</dcterms:created>
  <dcterms:modified xsi:type="dcterms:W3CDTF">2015-09-10T05:21:00Z</dcterms:modified>
</cp:coreProperties>
</file>